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AD" w:rsidRPr="000654AD" w:rsidRDefault="000654AD" w:rsidP="000654AD">
      <w:pPr>
        <w:spacing w:after="92"/>
        <w:textAlignment w:val="top"/>
        <w:outlineLvl w:val="0"/>
        <w:rPr>
          <w:rFonts w:ascii="Lato" w:eastAsia="Times New Roman" w:hAnsi="Lato" w:cs="Arial"/>
          <w:b/>
          <w:bCs/>
          <w:kern w:val="36"/>
          <w:sz w:val="56"/>
          <w:szCs w:val="56"/>
          <w:lang w:val="en-US" w:eastAsia="en-AU"/>
        </w:rPr>
      </w:pPr>
      <w:r w:rsidRPr="000654AD">
        <w:rPr>
          <w:rFonts w:ascii="Lato" w:eastAsia="Times New Roman" w:hAnsi="Lato" w:cs="Arial"/>
          <w:b/>
          <w:bCs/>
          <w:kern w:val="36"/>
          <w:sz w:val="56"/>
          <w:szCs w:val="56"/>
          <w:lang w:val="en-US" w:eastAsia="en-AU"/>
        </w:rPr>
        <w:t>Historiography</w:t>
      </w:r>
    </w:p>
    <w:p w:rsidR="000654AD" w:rsidRPr="000654AD" w:rsidRDefault="000654AD" w:rsidP="000654AD">
      <w:pPr>
        <w:spacing w:after="369"/>
        <w:textAlignment w:val="top"/>
        <w:rPr>
          <w:rFonts w:ascii="Lato" w:eastAsia="Times New Roman" w:hAnsi="Lato" w:cs="Arial"/>
          <w:b/>
          <w:bCs/>
          <w:sz w:val="35"/>
          <w:szCs w:val="35"/>
          <w:lang w:val="en-US" w:eastAsia="en-AU"/>
        </w:rPr>
      </w:pPr>
      <w:r w:rsidRPr="000654AD">
        <w:rPr>
          <w:rFonts w:ascii="Lato" w:eastAsia="Times New Roman" w:hAnsi="Lato" w:cs="Arial"/>
          <w:b/>
          <w:bCs/>
          <w:sz w:val="35"/>
          <w:szCs w:val="35"/>
          <w:lang w:val="en-US" w:eastAsia="en-AU"/>
        </w:rPr>
        <w:t>Australia, 1960-2014</w:t>
      </w:r>
    </w:p>
    <w:p w:rsidR="000654AD" w:rsidRDefault="000654AD" w:rsidP="000654AD">
      <w:pPr>
        <w:textAlignment w:val="top"/>
        <w:rPr>
          <w:rFonts w:ascii="Arial" w:eastAsia="Times New Roman" w:hAnsi="Arial" w:cs="Arial"/>
          <w:sz w:val="25"/>
          <w:lang w:val="en-US" w:eastAsia="en-AU"/>
        </w:rPr>
      </w:pPr>
      <w:r w:rsidRPr="000654AD">
        <w:rPr>
          <w:rFonts w:ascii="Arial" w:eastAsia="Times New Roman" w:hAnsi="Arial" w:cs="Arial"/>
          <w:sz w:val="25"/>
          <w:lang w:val="en-US" w:eastAsia="en-AU"/>
        </w:rPr>
        <w:t xml:space="preserve">Craig Campbell, PhD </w:t>
      </w:r>
      <w:proofErr w:type="spellStart"/>
      <w:r w:rsidRPr="000654AD">
        <w:rPr>
          <w:rFonts w:ascii="Arial" w:eastAsia="Times New Roman" w:hAnsi="Arial" w:cs="Arial"/>
          <w:sz w:val="25"/>
          <w:lang w:val="en-US" w:eastAsia="en-AU"/>
        </w:rPr>
        <w:t>DipEd</w:t>
      </w:r>
      <w:proofErr w:type="spellEnd"/>
    </w:p>
    <w:p w:rsidR="000654AD" w:rsidRPr="000654AD" w:rsidRDefault="000654AD" w:rsidP="000654AD">
      <w:pPr>
        <w:textAlignment w:val="top"/>
        <w:rPr>
          <w:rFonts w:ascii="Arial" w:eastAsia="Times New Roman" w:hAnsi="Arial" w:cs="Arial"/>
          <w:i/>
          <w:lang w:val="en-US" w:eastAsia="en-AU"/>
        </w:rPr>
      </w:pPr>
      <w:r w:rsidRPr="000654AD">
        <w:rPr>
          <w:rFonts w:ascii="Arial" w:eastAsia="Times New Roman" w:hAnsi="Arial" w:cs="Arial"/>
          <w:i/>
          <w:lang w:val="en-US" w:eastAsia="en-AU"/>
        </w:rPr>
        <w:t>University of Sydney</w:t>
      </w:r>
    </w:p>
    <w:p w:rsidR="000654AD" w:rsidRPr="000654AD" w:rsidRDefault="000654AD" w:rsidP="000654AD">
      <w:pPr>
        <w:spacing w:after="369"/>
        <w:textAlignment w:val="top"/>
        <w:rPr>
          <w:rFonts w:ascii="Arial" w:eastAsia="Times New Roman" w:hAnsi="Arial" w:cs="Arial"/>
          <w:sz w:val="25"/>
          <w:szCs w:val="25"/>
          <w:lang w:val="en-US" w:eastAsia="en-AU"/>
        </w:rPr>
      </w:pPr>
      <w:r w:rsidRPr="000654AD">
        <w:rPr>
          <w:rFonts w:ascii="Arial" w:eastAsia="Times New Roman" w:hAnsi="Arial" w:cs="Arial"/>
          <w:sz w:val="25"/>
          <w:lang w:val="en-US" w:eastAsia="en-AU"/>
        </w:rPr>
        <w:t>This entry posted September 1</w:t>
      </w:r>
      <w:r>
        <w:rPr>
          <w:rFonts w:ascii="Arial" w:eastAsia="Times New Roman" w:hAnsi="Arial" w:cs="Arial"/>
          <w:sz w:val="25"/>
          <w:lang w:val="en-US" w:eastAsia="en-AU"/>
        </w:rPr>
        <w:t>5</w:t>
      </w:r>
      <w:r w:rsidRPr="000654AD">
        <w:rPr>
          <w:rFonts w:ascii="Arial" w:eastAsia="Times New Roman" w:hAnsi="Arial" w:cs="Arial"/>
          <w:sz w:val="25"/>
          <w:lang w:val="en-US" w:eastAsia="en-AU"/>
        </w:rPr>
        <w:t>, 2014.</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Historiography encompasses the kinds of research, writing and analysis that historians engage for their purposes. Individual historians may be discussed in terms of their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influence and contribution, but more often the study of historiography concerns broader patterns of writing and analysis. The historiography of educational research and writing in Australia has always been responsive to international trends. At the same time, conscious study of historical writing, a close attention to historiography is a relatively recent development in Australian educational history, dating from the early </w:t>
      </w:r>
      <w:proofErr w:type="spellStart"/>
      <w:r w:rsidRPr="000654AD">
        <w:rPr>
          <w:rFonts w:ascii="Arial" w:eastAsia="Times New Roman" w:hAnsi="Arial" w:cs="Arial"/>
          <w:lang w:val="en-US" w:eastAsia="en-AU"/>
        </w:rPr>
        <w:t>1970s</w:t>
      </w:r>
      <w:proofErr w:type="spellEnd"/>
      <w:r w:rsidRPr="000654AD">
        <w:rPr>
          <w:rFonts w:ascii="Arial" w:eastAsia="Times New Roman" w:hAnsi="Arial" w:cs="Arial"/>
          <w:lang w:val="en-US" w:eastAsia="en-AU"/>
        </w:rPr>
        <w:t>.</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Interest in historiography tends to peak in periods when there are attempts to go beyond the ‘common sense’ or conventional practices of historical research and writing. This conventional approach may be </w:t>
      </w:r>
      <w:proofErr w:type="spellStart"/>
      <w:r w:rsidRPr="000654AD">
        <w:rPr>
          <w:rFonts w:ascii="Arial" w:eastAsia="Times New Roman" w:hAnsi="Arial" w:cs="Arial"/>
          <w:lang w:val="en-US" w:eastAsia="en-AU"/>
        </w:rPr>
        <w:t>characterised</w:t>
      </w:r>
      <w:proofErr w:type="spellEnd"/>
      <w:r w:rsidRPr="000654AD">
        <w:rPr>
          <w:rFonts w:ascii="Arial" w:eastAsia="Times New Roman" w:hAnsi="Arial" w:cs="Arial"/>
          <w:lang w:val="en-US" w:eastAsia="en-AU"/>
        </w:rPr>
        <w:t xml:space="preserve"> as the pragmatic, or Anglo-empirical tradition. It can include positivist elements. Normally it assumes that good historical analysis requires relative freedom from hypotheses arising from social theory and that clear evidence should underwrite the narratives and interpretation of historical phenomena. The ‘truth’ of historical phenomena is discoverable given highly skilled research efforts. This tradition regards the application of ‘theory’ as likely to contaminate analysis, interfering with what the evidence may have to tell the historian.</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Another controversy in the historiography concerns ‘</w:t>
      </w:r>
      <w:proofErr w:type="spellStart"/>
      <w:r w:rsidRPr="000654AD">
        <w:rPr>
          <w:rFonts w:ascii="Arial" w:eastAsia="Times New Roman" w:hAnsi="Arial" w:cs="Arial"/>
          <w:lang w:val="en-US" w:eastAsia="en-AU"/>
        </w:rPr>
        <w:t>presentism</w:t>
      </w:r>
      <w:proofErr w:type="spellEnd"/>
      <w:r w:rsidRPr="000654AD">
        <w:rPr>
          <w:rFonts w:ascii="Arial" w:eastAsia="Times New Roman" w:hAnsi="Arial" w:cs="Arial"/>
          <w:lang w:val="en-US" w:eastAsia="en-AU"/>
        </w:rPr>
        <w:t xml:space="preserve">’. Allowing contemporary preoccupations and questions to set research and writing agendas may be </w:t>
      </w:r>
      <w:proofErr w:type="spellStart"/>
      <w:r w:rsidRPr="000654AD">
        <w:rPr>
          <w:rFonts w:ascii="Arial" w:eastAsia="Times New Roman" w:hAnsi="Arial" w:cs="Arial"/>
          <w:lang w:val="en-US" w:eastAsia="en-AU"/>
        </w:rPr>
        <w:t>criticised</w:t>
      </w:r>
      <w:proofErr w:type="spellEnd"/>
      <w:r w:rsidRPr="000654AD">
        <w:rPr>
          <w:rFonts w:ascii="Arial" w:eastAsia="Times New Roman" w:hAnsi="Arial" w:cs="Arial"/>
          <w:lang w:val="en-US" w:eastAsia="en-AU"/>
        </w:rPr>
        <w:t xml:space="preserve"> as ‘</w:t>
      </w:r>
      <w:proofErr w:type="spellStart"/>
      <w:r w:rsidRPr="000654AD">
        <w:rPr>
          <w:rFonts w:ascii="Arial" w:eastAsia="Times New Roman" w:hAnsi="Arial" w:cs="Arial"/>
          <w:lang w:val="en-US" w:eastAsia="en-AU"/>
        </w:rPr>
        <w:t>presentist</w:t>
      </w:r>
      <w:proofErr w:type="spellEnd"/>
      <w:r w:rsidRPr="000654AD">
        <w:rPr>
          <w:rFonts w:ascii="Arial" w:eastAsia="Times New Roman" w:hAnsi="Arial" w:cs="Arial"/>
          <w:lang w:val="en-US" w:eastAsia="en-AU"/>
        </w:rPr>
        <w:t>’. The critics argue that the possibility of an authentic understanding of the past is likely to be disrupted by allowing contemporary questions and understandings to shape the study of the past.</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Arguably much of the historical thinking outlined above was simply blind to its own assumptions, indeed theoretical foundations. This tradition is sometimes </w:t>
      </w:r>
      <w:proofErr w:type="spellStart"/>
      <w:r w:rsidRPr="000654AD">
        <w:rPr>
          <w:rFonts w:ascii="Arial" w:eastAsia="Times New Roman" w:hAnsi="Arial" w:cs="Arial"/>
          <w:lang w:val="en-US" w:eastAsia="en-AU"/>
        </w:rPr>
        <w:t>characterised</w:t>
      </w:r>
      <w:proofErr w:type="spellEnd"/>
      <w:r w:rsidRPr="000654AD">
        <w:rPr>
          <w:rFonts w:ascii="Arial" w:eastAsia="Times New Roman" w:hAnsi="Arial" w:cs="Arial"/>
          <w:lang w:val="en-US" w:eastAsia="en-AU"/>
        </w:rPr>
        <w:t xml:space="preserve"> as the Whig, liberal or progressive tradition. In this tradition there is an assumption that some topics are more worthy of study than others and that some evidence is more legitimate than others—and that educational history in particular is a story of improvement or progress. Associated with the tradition was an absence of interest in studies of innovative research methodologies.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remainder of this entry discusses significant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influences for the history of education as </w:t>
      </w:r>
      <w:proofErr w:type="spellStart"/>
      <w:r w:rsidRPr="000654AD">
        <w:rPr>
          <w:rFonts w:ascii="Arial" w:eastAsia="Times New Roman" w:hAnsi="Arial" w:cs="Arial"/>
          <w:lang w:val="en-US" w:eastAsia="en-AU"/>
        </w:rPr>
        <w:t>practised</w:t>
      </w:r>
      <w:proofErr w:type="spellEnd"/>
      <w:r w:rsidRPr="000654AD">
        <w:rPr>
          <w:rFonts w:ascii="Arial" w:eastAsia="Times New Roman" w:hAnsi="Arial" w:cs="Arial"/>
          <w:lang w:val="en-US" w:eastAsia="en-AU"/>
        </w:rPr>
        <w:t xml:space="preserve"> in Australia. The work of most historians may be described as ‘genealogical’ in character, that is each of their arguments, methodological approaches, styles of writing and topics explored, have a history of their own. Historians usually engage with an existing literature (another meaning of ‘historiography’) on the topics and eras they research.</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Mastering this existing literature allows the recognition of its strengths and weaknesses, and the identification of issues with which it may have failed to engage.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study is therefore an essential part of developing new and better explanations of historical </w:t>
      </w:r>
      <w:r w:rsidRPr="000654AD">
        <w:rPr>
          <w:rFonts w:ascii="Arial" w:eastAsia="Times New Roman" w:hAnsi="Arial" w:cs="Arial"/>
          <w:lang w:val="en-US" w:eastAsia="en-AU"/>
        </w:rPr>
        <w:lastRenderedPageBreak/>
        <w:t xml:space="preserve">phenomena. As Peter Burke’s </w:t>
      </w:r>
      <w:r w:rsidRPr="000654AD">
        <w:rPr>
          <w:rFonts w:ascii="Arial" w:eastAsia="Times New Roman" w:hAnsi="Arial" w:cs="Arial"/>
          <w:i/>
          <w:iCs/>
          <w:lang w:val="en-US" w:eastAsia="en-AU"/>
        </w:rPr>
        <w:t>History and Social Theory</w:t>
      </w:r>
      <w:r w:rsidRPr="000654AD">
        <w:rPr>
          <w:rFonts w:ascii="Arial" w:eastAsia="Times New Roman" w:hAnsi="Arial" w:cs="Arial"/>
          <w:lang w:val="en-US" w:eastAsia="en-AU"/>
        </w:rPr>
        <w:t xml:space="preserve"> (2005) suggests, the judicious consideration of relevant social theory may also make a considerable contribution to the developing historiography.</w:t>
      </w:r>
    </w:p>
    <w:p w:rsidR="000654AD" w:rsidRPr="000654AD" w:rsidRDefault="000654AD" w:rsidP="000654AD">
      <w:pPr>
        <w:spacing w:after="92"/>
        <w:textAlignment w:val="top"/>
        <w:outlineLvl w:val="1"/>
        <w:rPr>
          <w:rFonts w:ascii="Lato" w:eastAsia="Times New Roman" w:hAnsi="Lato" w:cs="Arial"/>
          <w:b/>
          <w:bCs/>
          <w:sz w:val="36"/>
          <w:szCs w:val="36"/>
          <w:lang w:val="en-US" w:eastAsia="en-AU"/>
        </w:rPr>
      </w:pPr>
      <w:proofErr w:type="spellStart"/>
      <w:r w:rsidRPr="000654AD">
        <w:rPr>
          <w:rFonts w:ascii="Lato" w:eastAsia="Times New Roman" w:hAnsi="Lato" w:cs="Arial"/>
          <w:b/>
          <w:bCs/>
          <w:sz w:val="36"/>
          <w:szCs w:val="36"/>
          <w:lang w:val="en-US" w:eastAsia="en-AU"/>
        </w:rPr>
        <w:t>Historiographical</w:t>
      </w:r>
      <w:proofErr w:type="spellEnd"/>
      <w:r w:rsidRPr="000654AD">
        <w:rPr>
          <w:rFonts w:ascii="Lato" w:eastAsia="Times New Roman" w:hAnsi="Lato" w:cs="Arial"/>
          <w:b/>
          <w:bCs/>
          <w:sz w:val="36"/>
          <w:szCs w:val="36"/>
          <w:lang w:val="en-US" w:eastAsia="en-AU"/>
        </w:rPr>
        <w:t xml:space="preserve"> movements, traditions and influences</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Whig, liberal and progressive</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This tradition has been responsible for a great number of works in the history of education, in fact it may be considered the dominant tradition. In general the themes it develops concentrate on progressive reform in schooling and education. In the process it often privileges the biographies and contributions of the builders of institutions and school systems. These are usually male. It concentrates on the beneficial effects of such work. It often traces the expansion of systems of public education as a force for the improvement of populations, economic development, educational opportunity and nation-building in general. Better examples of writing in this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tradition, considered so by their plausibility of argument and skilled use of evidence, perhaps include sympathetic discussion of those who opposed ‘progress’.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Most commissioned histories of schools and other educational institutions and systems, fall into this Whig tradition. Many lack critical focus as system or school leaders and builders are praised for their contributions.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With its concentration on successful institutions, especially, but not only those providing public education, this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tradition has come under sustained criticism since the early </w:t>
      </w:r>
      <w:proofErr w:type="spellStart"/>
      <w:r w:rsidRPr="000654AD">
        <w:rPr>
          <w:rFonts w:ascii="Arial" w:eastAsia="Times New Roman" w:hAnsi="Arial" w:cs="Arial"/>
          <w:lang w:val="en-US" w:eastAsia="en-AU"/>
        </w:rPr>
        <w:t>1970s</w:t>
      </w:r>
      <w:proofErr w:type="spellEnd"/>
      <w:r w:rsidRPr="000654AD">
        <w:rPr>
          <w:rFonts w:ascii="Arial" w:eastAsia="Times New Roman" w:hAnsi="Arial" w:cs="Arial"/>
          <w:lang w:val="en-US" w:eastAsia="en-AU"/>
        </w:rPr>
        <w:t>. An early source of criticism was provided by those who felt that significant populations, such as working class, women, Indigenous, disabled and other ethnic or cultural minorities, were ignored, misrepresented or misunderstood.</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This is not to say that this tradition has not added substantially to our knowledge and understanding of Australian educational history. An early formulation of the dominant argument, that necessary and accessible public education arose from the morass of religious denominational provision can be found as early as 1853 with the publication of George Rusden’s polemic on the virtues of national education. Further, the biographies of leaders such as Peter Board, George Higginbotham, George Rusden, Frank Tate, William Wilkins and Harold Wyndham produced by historians of education provide essential knowledge about the origins and character of Australian educational institutions. Most of the older studies that constituted the Australian historiography concentrate on the contests between churches and state in the building of systems of education, and then the building of the educational state. Work by historians A.G. Austin, J. S. Gregory, Gwyneth Dow, Richard Ely, R. J. W. </w:t>
      </w:r>
      <w:proofErr w:type="spellStart"/>
      <w:r w:rsidRPr="000654AD">
        <w:rPr>
          <w:rFonts w:ascii="Arial" w:eastAsia="Times New Roman" w:hAnsi="Arial" w:cs="Arial"/>
          <w:lang w:val="en-US" w:eastAsia="en-AU"/>
        </w:rPr>
        <w:t>Selleck</w:t>
      </w:r>
      <w:proofErr w:type="spellEnd"/>
      <w:r w:rsidRPr="000654AD">
        <w:rPr>
          <w:rFonts w:ascii="Arial" w:eastAsia="Times New Roman" w:hAnsi="Arial" w:cs="Arial"/>
          <w:lang w:val="en-US" w:eastAsia="en-AU"/>
        </w:rPr>
        <w:t xml:space="preserve"> and Denis Grundy contribute to this historiography.</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Revisionism and social history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Revisionism and its close ally, social history in the critical tradition, are very broad terms for a range of challenges to the standard Whig or progressive educational historiography. Marxist and New Left social theory and historiography, especially from the United Kingdom, and a wave of radical or ‘revisionist’ histories challenging the accepted truths surrounding public education history in the United States, had a strong impact in Australia. There was usually an argument that disadvantaged populations were in part made so by schooling and knowledge systems and practices that routinely advantaged wealthier and more powerful groups in the population. The subjects and focus of historical study tended to shift towards ‘social history’, that is, much more attention being given to the experience of ‘ordinary’ young </w:t>
      </w:r>
      <w:r w:rsidRPr="000654AD">
        <w:rPr>
          <w:rFonts w:ascii="Arial" w:eastAsia="Times New Roman" w:hAnsi="Arial" w:cs="Arial"/>
          <w:lang w:val="en-US" w:eastAsia="en-AU"/>
        </w:rPr>
        <w:lastRenderedPageBreak/>
        <w:t xml:space="preserve">people and teachers rather than the work of educational leaders and the founders of systems of education. Although leaders and systems often continued as subjects of educational historiography, the arguments became critical. The different approaches of historians Clifford </w:t>
      </w:r>
      <w:proofErr w:type="spellStart"/>
      <w:r w:rsidRPr="000654AD">
        <w:rPr>
          <w:rFonts w:ascii="Arial" w:eastAsia="Times New Roman" w:hAnsi="Arial" w:cs="Arial"/>
          <w:lang w:val="en-US" w:eastAsia="en-AU"/>
        </w:rPr>
        <w:t>Turney</w:t>
      </w:r>
      <w:proofErr w:type="spellEnd"/>
      <w:r w:rsidRPr="000654AD">
        <w:rPr>
          <w:rFonts w:ascii="Arial" w:eastAsia="Times New Roman" w:hAnsi="Arial" w:cs="Arial"/>
          <w:lang w:val="en-US" w:eastAsia="en-AU"/>
        </w:rPr>
        <w:t xml:space="preserve"> (1992) and Barry Smith (1990) to one of the builders of New South Wales’ public education system, William Wilkins, or the histories of South Australian public education, Colin Thiele’s, </w:t>
      </w:r>
      <w:r w:rsidRPr="000654AD">
        <w:rPr>
          <w:rFonts w:ascii="Arial" w:eastAsia="Times New Roman" w:hAnsi="Arial" w:cs="Arial"/>
          <w:i/>
          <w:iCs/>
          <w:lang w:val="en-US" w:eastAsia="en-AU"/>
        </w:rPr>
        <w:t>Grains of Mustard Seed</w:t>
      </w:r>
      <w:r w:rsidRPr="000654AD">
        <w:rPr>
          <w:rFonts w:ascii="Arial" w:eastAsia="Times New Roman" w:hAnsi="Arial" w:cs="Arial"/>
          <w:lang w:val="en-US" w:eastAsia="en-AU"/>
        </w:rPr>
        <w:t xml:space="preserve"> (1975) and </w:t>
      </w:r>
      <w:proofErr w:type="spellStart"/>
      <w:r w:rsidRPr="000654AD">
        <w:rPr>
          <w:rFonts w:ascii="Arial" w:eastAsia="Times New Roman" w:hAnsi="Arial" w:cs="Arial"/>
          <w:lang w:val="en-US" w:eastAsia="en-AU"/>
        </w:rPr>
        <w:t>Pavla</w:t>
      </w:r>
      <w:proofErr w:type="spellEnd"/>
      <w:r w:rsidRPr="000654AD">
        <w:rPr>
          <w:rFonts w:ascii="Arial" w:eastAsia="Times New Roman" w:hAnsi="Arial" w:cs="Arial"/>
          <w:lang w:val="en-US" w:eastAsia="en-AU"/>
        </w:rPr>
        <w:t xml:space="preserve"> Miller’s, </w:t>
      </w:r>
      <w:r w:rsidRPr="000654AD">
        <w:rPr>
          <w:rFonts w:ascii="Arial" w:eastAsia="Times New Roman" w:hAnsi="Arial" w:cs="Arial"/>
          <w:i/>
          <w:iCs/>
          <w:lang w:val="en-US" w:eastAsia="en-AU"/>
        </w:rPr>
        <w:t>Long Division</w:t>
      </w:r>
      <w:r w:rsidRPr="000654AD">
        <w:rPr>
          <w:rFonts w:ascii="Arial" w:eastAsia="Times New Roman" w:hAnsi="Arial" w:cs="Arial"/>
          <w:lang w:val="en-US" w:eastAsia="en-AU"/>
        </w:rPr>
        <w:t xml:space="preserve"> (1986) illustrate the different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approaches.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Important works of radical revisionism from the </w:t>
      </w:r>
      <w:proofErr w:type="spellStart"/>
      <w:r w:rsidRPr="000654AD">
        <w:rPr>
          <w:rFonts w:ascii="Arial" w:eastAsia="Times New Roman" w:hAnsi="Arial" w:cs="Arial"/>
          <w:lang w:val="en-US" w:eastAsia="en-AU"/>
        </w:rPr>
        <w:t>1970s</w:t>
      </w:r>
      <w:proofErr w:type="spellEnd"/>
      <w:r w:rsidRPr="000654AD">
        <w:rPr>
          <w:rFonts w:ascii="Arial" w:eastAsia="Times New Roman" w:hAnsi="Arial" w:cs="Arial"/>
          <w:lang w:val="en-US" w:eastAsia="en-AU"/>
        </w:rPr>
        <w:t xml:space="preserve"> included Jean Ely’s, </w:t>
      </w:r>
      <w:r w:rsidRPr="000654AD">
        <w:rPr>
          <w:rFonts w:ascii="Arial" w:eastAsia="Times New Roman" w:hAnsi="Arial" w:cs="Arial"/>
          <w:i/>
          <w:iCs/>
          <w:lang w:val="en-US" w:eastAsia="en-AU"/>
        </w:rPr>
        <w:t xml:space="preserve">Reality and Rhetoric </w:t>
      </w:r>
      <w:r w:rsidRPr="000654AD">
        <w:rPr>
          <w:rFonts w:ascii="Arial" w:eastAsia="Times New Roman" w:hAnsi="Arial" w:cs="Arial"/>
          <w:lang w:val="en-US" w:eastAsia="en-AU"/>
        </w:rPr>
        <w:t xml:space="preserve">(1978), Bob </w:t>
      </w:r>
      <w:proofErr w:type="spellStart"/>
      <w:r w:rsidRPr="000654AD">
        <w:rPr>
          <w:rFonts w:ascii="Arial" w:eastAsia="Times New Roman" w:hAnsi="Arial" w:cs="Arial"/>
          <w:lang w:val="en-US" w:eastAsia="en-AU"/>
        </w:rPr>
        <w:t>Bessant’s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Mother State and Her Little Ones</w:t>
      </w:r>
      <w:r w:rsidRPr="000654AD">
        <w:rPr>
          <w:rFonts w:ascii="Arial" w:eastAsia="Times New Roman" w:hAnsi="Arial" w:cs="Arial"/>
          <w:lang w:val="en-US" w:eastAsia="en-AU"/>
        </w:rPr>
        <w:t xml:space="preserve"> (1987), </w:t>
      </w:r>
      <w:proofErr w:type="spellStart"/>
      <w:r w:rsidRPr="000654AD">
        <w:rPr>
          <w:rFonts w:ascii="Arial" w:eastAsia="Times New Roman" w:hAnsi="Arial" w:cs="Arial"/>
          <w:lang w:val="en-US" w:eastAsia="en-AU"/>
        </w:rPr>
        <w:t>Pavla</w:t>
      </w:r>
      <w:proofErr w:type="spellEnd"/>
      <w:r w:rsidRPr="000654AD">
        <w:rPr>
          <w:rFonts w:ascii="Arial" w:eastAsia="Times New Roman" w:hAnsi="Arial" w:cs="Arial"/>
          <w:lang w:val="en-US" w:eastAsia="en-AU"/>
        </w:rPr>
        <w:t xml:space="preserve"> Miller’s </w:t>
      </w:r>
      <w:r w:rsidRPr="000654AD">
        <w:rPr>
          <w:rFonts w:ascii="Arial" w:eastAsia="Times New Roman" w:hAnsi="Arial" w:cs="Arial"/>
          <w:i/>
          <w:iCs/>
          <w:lang w:val="en-US" w:eastAsia="en-AU"/>
        </w:rPr>
        <w:t>Long Division</w:t>
      </w:r>
      <w:r w:rsidRPr="000654AD">
        <w:rPr>
          <w:rFonts w:ascii="Arial" w:eastAsia="Times New Roman" w:hAnsi="Arial" w:cs="Arial"/>
          <w:lang w:val="en-US" w:eastAsia="en-AU"/>
        </w:rPr>
        <w:t xml:space="preserve"> (1986) and David McCallum’s </w:t>
      </w:r>
      <w:r w:rsidRPr="000654AD">
        <w:rPr>
          <w:rFonts w:ascii="Arial" w:eastAsia="Times New Roman" w:hAnsi="Arial" w:cs="Arial"/>
          <w:i/>
          <w:iCs/>
          <w:lang w:val="en-US" w:eastAsia="en-AU"/>
        </w:rPr>
        <w:t>The Social Production of Merit</w:t>
      </w:r>
      <w:r w:rsidRPr="000654AD">
        <w:rPr>
          <w:rFonts w:ascii="Arial" w:eastAsia="Times New Roman" w:hAnsi="Arial" w:cs="Arial"/>
          <w:lang w:val="en-US" w:eastAsia="en-AU"/>
        </w:rPr>
        <w:t xml:space="preserve"> (1990). In Adelaide there was the so-called </w:t>
      </w:r>
      <w:hyperlink r:id="rId7" w:tooltip="Adelaide school of social history: childhood, family and education" w:history="1">
        <w:r w:rsidRPr="000654AD">
          <w:rPr>
            <w:rFonts w:ascii="Arial" w:eastAsia="Times New Roman" w:hAnsi="Arial" w:cs="Arial"/>
            <w:lang w:val="en-US" w:eastAsia="en-AU"/>
          </w:rPr>
          <w:t>Adelaide School</w:t>
        </w:r>
      </w:hyperlink>
      <w:r w:rsidRPr="000654AD">
        <w:rPr>
          <w:rFonts w:ascii="Arial" w:eastAsia="Times New Roman" w:hAnsi="Arial" w:cs="Arial"/>
          <w:lang w:val="en-US" w:eastAsia="en-AU"/>
        </w:rPr>
        <w:t xml:space="preserve">, associated with Ian Davey. Its historians initially addressed the difficult relations between the working class and public schools, but went on to develop histories of childhood, youth and schooling that responded to developing gender theory. In New South Wales, Geoffrey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xml:space="preserve"> and Winifred Mitchell wrote their </w:t>
      </w:r>
      <w:r w:rsidRPr="000654AD">
        <w:rPr>
          <w:rFonts w:ascii="Arial" w:eastAsia="Times New Roman" w:hAnsi="Arial" w:cs="Arial"/>
          <w:i/>
          <w:iCs/>
          <w:lang w:val="en-US" w:eastAsia="en-AU"/>
        </w:rPr>
        <w:t xml:space="preserve">Growing Up in the </w:t>
      </w:r>
      <w:proofErr w:type="spellStart"/>
      <w:r w:rsidRPr="000654AD">
        <w:rPr>
          <w:rFonts w:ascii="Arial" w:eastAsia="Times New Roman" w:hAnsi="Arial" w:cs="Arial"/>
          <w:i/>
          <w:iCs/>
          <w:lang w:val="en-US" w:eastAsia="en-AU"/>
        </w:rPr>
        <w:t>Illawarra</w:t>
      </w:r>
      <w:proofErr w:type="spellEnd"/>
      <w:r w:rsidRPr="000654AD">
        <w:rPr>
          <w:rFonts w:ascii="Arial" w:eastAsia="Times New Roman" w:hAnsi="Arial" w:cs="Arial"/>
          <w:lang w:val="en-US" w:eastAsia="en-AU"/>
        </w:rPr>
        <w:t xml:space="preserve"> (1984) and John </w:t>
      </w:r>
      <w:proofErr w:type="spellStart"/>
      <w:r w:rsidRPr="000654AD">
        <w:rPr>
          <w:rFonts w:ascii="Arial" w:eastAsia="Times New Roman" w:hAnsi="Arial" w:cs="Arial"/>
          <w:lang w:val="en-US" w:eastAsia="en-AU"/>
        </w:rPr>
        <w:t>Ramsland</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 xml:space="preserve">Children of the </w:t>
      </w:r>
      <w:proofErr w:type="spellStart"/>
      <w:r w:rsidRPr="000654AD">
        <w:rPr>
          <w:rFonts w:ascii="Arial" w:eastAsia="Times New Roman" w:hAnsi="Arial" w:cs="Arial"/>
          <w:i/>
          <w:iCs/>
          <w:lang w:val="en-US" w:eastAsia="en-AU"/>
        </w:rPr>
        <w:t>Backlanes</w:t>
      </w:r>
      <w:proofErr w:type="spellEnd"/>
      <w:r w:rsidRPr="000654AD">
        <w:rPr>
          <w:rFonts w:ascii="Arial" w:eastAsia="Times New Roman" w:hAnsi="Arial" w:cs="Arial"/>
          <w:lang w:val="en-US" w:eastAsia="en-AU"/>
        </w:rPr>
        <w:t xml:space="preserve"> (1986). With work such as these, and Craig Campbell’s studies of adolescence, the historical study of schooling was expanded into that of childhood and youth (see below). Regionally based social histories also became more common. The impact of schooling on populations became as important a question as how the educational state, more narrowly defined, developed.</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 result of revisionism saw changes in the kinds of documents that were thought relevant to educational history. Collections such as those by A. G. Austin and Clifford </w:t>
      </w:r>
      <w:proofErr w:type="spellStart"/>
      <w:r w:rsidRPr="000654AD">
        <w:rPr>
          <w:rFonts w:ascii="Arial" w:eastAsia="Times New Roman" w:hAnsi="Arial" w:cs="Arial"/>
          <w:lang w:val="en-US" w:eastAsia="en-AU"/>
        </w:rPr>
        <w:t>Turney</w:t>
      </w:r>
      <w:proofErr w:type="spellEnd"/>
      <w:r w:rsidRPr="000654AD">
        <w:rPr>
          <w:rFonts w:ascii="Arial" w:eastAsia="Times New Roman" w:hAnsi="Arial" w:cs="Arial"/>
          <w:lang w:val="en-US" w:eastAsia="en-AU"/>
        </w:rPr>
        <w:t xml:space="preserve"> in the </w:t>
      </w:r>
      <w:proofErr w:type="spellStart"/>
      <w:r w:rsidRPr="000654AD">
        <w:rPr>
          <w:rFonts w:ascii="Arial" w:eastAsia="Times New Roman" w:hAnsi="Arial" w:cs="Arial"/>
          <w:lang w:val="en-US" w:eastAsia="en-AU"/>
        </w:rPr>
        <w:t>1960s</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1970s</w:t>
      </w:r>
      <w:proofErr w:type="spellEnd"/>
      <w:r w:rsidRPr="000654AD">
        <w:rPr>
          <w:rFonts w:ascii="Arial" w:eastAsia="Times New Roman" w:hAnsi="Arial" w:cs="Arial"/>
          <w:lang w:val="en-US" w:eastAsia="en-AU"/>
        </w:rPr>
        <w:t xml:space="preserve"> had concentrated on the building of education systems and church and state relations. The South Australian collection, </w:t>
      </w:r>
      <w:r w:rsidRPr="000654AD">
        <w:rPr>
          <w:rFonts w:ascii="Arial" w:eastAsia="Times New Roman" w:hAnsi="Arial" w:cs="Arial"/>
          <w:i/>
          <w:iCs/>
          <w:lang w:val="en-US" w:eastAsia="en-AU"/>
        </w:rPr>
        <w:t>Learning and Other Things</w:t>
      </w:r>
      <w:r w:rsidRPr="000654AD">
        <w:rPr>
          <w:rFonts w:ascii="Arial" w:eastAsia="Times New Roman" w:hAnsi="Arial" w:cs="Arial"/>
          <w:lang w:val="en-US" w:eastAsia="en-AU"/>
        </w:rPr>
        <w:t xml:space="preserve"> in 1988 </w:t>
      </w:r>
      <w:proofErr w:type="spellStart"/>
      <w:r w:rsidRPr="000654AD">
        <w:rPr>
          <w:rFonts w:ascii="Arial" w:eastAsia="Times New Roman" w:hAnsi="Arial" w:cs="Arial"/>
          <w:lang w:val="en-US" w:eastAsia="en-AU"/>
        </w:rPr>
        <w:t>focussed</w:t>
      </w:r>
      <w:proofErr w:type="spellEnd"/>
      <w:r w:rsidRPr="000654AD">
        <w:rPr>
          <w:rFonts w:ascii="Arial" w:eastAsia="Times New Roman" w:hAnsi="Arial" w:cs="Arial"/>
          <w:lang w:val="en-US" w:eastAsia="en-AU"/>
        </w:rPr>
        <w:t xml:space="preserve"> more on documents that supported the writing of social histories of education.</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Revisionist historiography encouraged non-traditional research methodologies. The development of comprehensive data-bases of young people enrolled in schools, or teachers’ records allowed for </w:t>
      </w:r>
      <w:hyperlink r:id="rId8" w:tooltip="Quantitative history" w:history="1">
        <w:r w:rsidRPr="000654AD">
          <w:rPr>
            <w:rFonts w:ascii="Arial" w:eastAsia="Times New Roman" w:hAnsi="Arial" w:cs="Arial"/>
            <w:lang w:val="en-US" w:eastAsia="en-AU"/>
          </w:rPr>
          <w:t>‘quantitative history’</w:t>
        </w:r>
      </w:hyperlink>
      <w:r w:rsidRPr="000654AD">
        <w:rPr>
          <w:rFonts w:ascii="Arial" w:eastAsia="Times New Roman" w:hAnsi="Arial" w:cs="Arial"/>
          <w:lang w:val="en-US" w:eastAsia="en-AU"/>
        </w:rPr>
        <w:t xml:space="preserve">. Hypotheses about what had happened to broad populations of teachers or young people caught up in education, or in transitions to the workforce could be supported by this kind of evidence. Alison Mackinnon and Craig Campbell wrote histories based on extensive student databases collected from a variety of school records. Moreover, </w:t>
      </w:r>
      <w:hyperlink r:id="rId9" w:history="1">
        <w:r w:rsidRPr="000654AD">
          <w:rPr>
            <w:rFonts w:ascii="Arial" w:eastAsia="Times New Roman" w:hAnsi="Arial" w:cs="Arial"/>
            <w:lang w:val="en-US" w:eastAsia="en-AU"/>
          </w:rPr>
          <w:t xml:space="preserve">oral history </w:t>
        </w:r>
      </w:hyperlink>
      <w:r w:rsidRPr="000654AD">
        <w:rPr>
          <w:rFonts w:ascii="Arial" w:eastAsia="Times New Roman" w:hAnsi="Arial" w:cs="Arial"/>
          <w:lang w:val="en-US" w:eastAsia="en-AU"/>
        </w:rPr>
        <w:t xml:space="preserve">was increasingly </w:t>
      </w:r>
      <w:proofErr w:type="spellStart"/>
      <w:r w:rsidRPr="000654AD">
        <w:rPr>
          <w:rFonts w:ascii="Arial" w:eastAsia="Times New Roman" w:hAnsi="Arial" w:cs="Arial"/>
          <w:lang w:val="en-US" w:eastAsia="en-AU"/>
        </w:rPr>
        <w:t>recognised</w:t>
      </w:r>
      <w:proofErr w:type="spellEnd"/>
      <w:r w:rsidRPr="000654AD">
        <w:rPr>
          <w:rFonts w:ascii="Arial" w:eastAsia="Times New Roman" w:hAnsi="Arial" w:cs="Arial"/>
          <w:lang w:val="en-US" w:eastAsia="en-AU"/>
        </w:rPr>
        <w:t xml:space="preserve"> as one of the very few ways of recovering the voices and personal histories of people who were usually silenced in the writing of mainstream history. The practice of oral history generated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and methodological debate. Alyson Holbrook and Josephine May were significant participants in this debate in the </w:t>
      </w:r>
      <w:proofErr w:type="spellStart"/>
      <w:r w:rsidRPr="000654AD">
        <w:rPr>
          <w:rFonts w:ascii="Arial" w:eastAsia="Times New Roman" w:hAnsi="Arial" w:cs="Arial"/>
          <w:lang w:val="en-US" w:eastAsia="en-AU"/>
        </w:rPr>
        <w:t>1990s</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2000s</w:t>
      </w:r>
      <w:proofErr w:type="spellEnd"/>
      <w:r w:rsidRPr="000654AD">
        <w:rPr>
          <w:rFonts w:ascii="Arial" w:eastAsia="Times New Roman" w:hAnsi="Arial" w:cs="Arial"/>
          <w:lang w:val="en-US" w:eastAsia="en-AU"/>
        </w:rPr>
        <w:t>.</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book edited by Marjorie </w:t>
      </w:r>
      <w:proofErr w:type="spellStart"/>
      <w:r w:rsidRPr="000654AD">
        <w:rPr>
          <w:rFonts w:ascii="Arial" w:eastAsia="Times New Roman" w:hAnsi="Arial" w:cs="Arial"/>
          <w:lang w:val="en-US" w:eastAsia="en-AU"/>
        </w:rPr>
        <w:t>Theobald</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R.J.W.</w:t>
      </w:r>
      <w:proofErr w:type="spellEnd"/>
      <w:r w:rsidRPr="000654AD">
        <w:rPr>
          <w:rFonts w:ascii="Arial" w:eastAsia="Times New Roman" w:hAnsi="Arial" w:cs="Arial"/>
          <w:lang w:val="en-US" w:eastAsia="en-AU"/>
        </w:rPr>
        <w:t xml:space="preserve"> </w:t>
      </w:r>
      <w:proofErr w:type="spellStart"/>
      <w:r w:rsidRPr="000654AD">
        <w:rPr>
          <w:rFonts w:ascii="Arial" w:eastAsia="Times New Roman" w:hAnsi="Arial" w:cs="Arial"/>
          <w:lang w:val="en-US" w:eastAsia="en-AU"/>
        </w:rPr>
        <w:t>Selleck</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Family, School and State in Australian History</w:t>
      </w:r>
      <w:r w:rsidRPr="000654AD">
        <w:rPr>
          <w:rFonts w:ascii="Arial" w:eastAsia="Times New Roman" w:hAnsi="Arial" w:cs="Arial"/>
          <w:lang w:val="en-US" w:eastAsia="en-AU"/>
        </w:rPr>
        <w:t xml:space="preserve"> (1990), provides a convenient collection of articles that engaged with the social history of education and revisionist historiography.</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Feminism and women’s history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At the same time as the emergence of social history, and in critical dialogue with it, numbers of mainly women historians began to ask new questions about the experience of women in educational history. Jill Blackmore’s </w:t>
      </w:r>
      <w:r w:rsidRPr="000654AD">
        <w:rPr>
          <w:rFonts w:ascii="Arial" w:eastAsia="Times New Roman" w:hAnsi="Arial" w:cs="Arial"/>
          <w:i/>
          <w:iCs/>
          <w:lang w:val="en-US" w:eastAsia="en-AU"/>
        </w:rPr>
        <w:t xml:space="preserve">Making Educational History: A Feminist perspective </w:t>
      </w:r>
      <w:r w:rsidRPr="000654AD">
        <w:rPr>
          <w:rFonts w:ascii="Arial" w:eastAsia="Times New Roman" w:hAnsi="Arial" w:cs="Arial"/>
          <w:lang w:val="en-US" w:eastAsia="en-AU"/>
        </w:rPr>
        <w:t xml:space="preserve">(1992) reviewed the developing historiography. Helen Jones and </w:t>
      </w:r>
      <w:proofErr w:type="spellStart"/>
      <w:r w:rsidRPr="000654AD">
        <w:rPr>
          <w:rFonts w:ascii="Arial" w:eastAsia="Times New Roman" w:hAnsi="Arial" w:cs="Arial"/>
          <w:lang w:val="en-US" w:eastAsia="en-AU"/>
        </w:rPr>
        <w:t>Noeline</w:t>
      </w:r>
      <w:proofErr w:type="spellEnd"/>
      <w:r w:rsidRPr="000654AD">
        <w:rPr>
          <w:rFonts w:ascii="Arial" w:eastAsia="Times New Roman" w:hAnsi="Arial" w:cs="Arial"/>
          <w:lang w:val="en-US" w:eastAsia="en-AU"/>
        </w:rPr>
        <w:t xml:space="preserve"> Kyle sought to rescue the historical role of women in social and educational change more generally. Others were strongly influenced by second wave feminist theory. Historians such as Elizabeth </w:t>
      </w:r>
      <w:proofErr w:type="spellStart"/>
      <w:r w:rsidRPr="000654AD">
        <w:rPr>
          <w:rFonts w:ascii="Arial" w:eastAsia="Times New Roman" w:hAnsi="Arial" w:cs="Arial"/>
          <w:lang w:val="en-US" w:eastAsia="en-AU"/>
        </w:rPr>
        <w:t>Windschuttle</w:t>
      </w:r>
      <w:proofErr w:type="spellEnd"/>
      <w:r w:rsidRPr="000654AD">
        <w:rPr>
          <w:rFonts w:ascii="Arial" w:eastAsia="Times New Roman" w:hAnsi="Arial" w:cs="Arial"/>
          <w:lang w:val="en-US" w:eastAsia="en-AU"/>
        </w:rPr>
        <w:t xml:space="preserve">, Marjorie </w:t>
      </w:r>
      <w:proofErr w:type="spellStart"/>
      <w:r w:rsidRPr="000654AD">
        <w:rPr>
          <w:rFonts w:ascii="Arial" w:eastAsia="Times New Roman" w:hAnsi="Arial" w:cs="Arial"/>
          <w:lang w:val="en-US" w:eastAsia="en-AU"/>
        </w:rPr>
        <w:t>Theobald</w:t>
      </w:r>
      <w:proofErr w:type="spellEnd"/>
      <w:r w:rsidRPr="000654AD">
        <w:rPr>
          <w:rFonts w:ascii="Arial" w:eastAsia="Times New Roman" w:hAnsi="Arial" w:cs="Arial"/>
          <w:lang w:val="en-US" w:eastAsia="en-AU"/>
        </w:rPr>
        <w:t xml:space="preserve"> and Kay Whitehead sought to tell the histories of women who had resisted patriarchal power. Histories of women teachers and girls’ schools </w:t>
      </w:r>
      <w:r w:rsidRPr="000654AD">
        <w:rPr>
          <w:rFonts w:ascii="Arial" w:eastAsia="Times New Roman" w:hAnsi="Arial" w:cs="Arial"/>
          <w:lang w:val="en-US" w:eastAsia="en-AU"/>
        </w:rPr>
        <w:lastRenderedPageBreak/>
        <w:t xml:space="preserve">predominated, although what constituted the female curriculum over time also received attention. </w:t>
      </w:r>
      <w:proofErr w:type="spellStart"/>
      <w:r w:rsidRPr="000654AD">
        <w:rPr>
          <w:rFonts w:ascii="Arial" w:eastAsia="Times New Roman" w:hAnsi="Arial" w:cs="Arial"/>
          <w:lang w:val="en-US" w:eastAsia="en-AU"/>
        </w:rPr>
        <w:t>Theobald’s</w:t>
      </w:r>
      <w:proofErr w:type="spellEnd"/>
      <w:r w:rsidRPr="000654AD">
        <w:rPr>
          <w:rFonts w:ascii="Arial" w:eastAsia="Times New Roman" w:hAnsi="Arial" w:cs="Arial"/>
          <w:lang w:val="en-US" w:eastAsia="en-AU"/>
        </w:rPr>
        <w:t xml:space="preserve"> essay, ‘”Mere Accomplishments”? Melbourne’s Early Ladies Schools Reconsidered’ was internationally significant in the historiography of women’s education. There was a similar movement among historians of Catholic education as the activity of female religious (nuns) was considered in the light of feminism. Christine </w:t>
      </w:r>
      <w:proofErr w:type="spellStart"/>
      <w:r w:rsidRPr="000654AD">
        <w:rPr>
          <w:rFonts w:ascii="Arial" w:eastAsia="Times New Roman" w:hAnsi="Arial" w:cs="Arial"/>
          <w:lang w:val="en-US" w:eastAsia="en-AU"/>
        </w:rPr>
        <w:t>Trimingham</w:t>
      </w:r>
      <w:proofErr w:type="spellEnd"/>
      <w:r w:rsidRPr="000654AD">
        <w:rPr>
          <w:rFonts w:ascii="Arial" w:eastAsia="Times New Roman" w:hAnsi="Arial" w:cs="Arial"/>
          <w:lang w:val="en-US" w:eastAsia="en-AU"/>
        </w:rPr>
        <w:t xml:space="preserve"> Jack and Anne O’Brien wrote important studies.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As had been the case for the related revisionist history, social theory, in this case, gender theory became significant in the raising of new questions in writing histories of education. </w:t>
      </w:r>
      <w:proofErr w:type="spellStart"/>
      <w:r w:rsidRPr="000654AD">
        <w:rPr>
          <w:rFonts w:ascii="Arial" w:eastAsia="Times New Roman" w:hAnsi="Arial" w:cs="Arial"/>
          <w:lang w:val="en-US" w:eastAsia="en-AU"/>
        </w:rPr>
        <w:t>Theorisation</w:t>
      </w:r>
      <w:proofErr w:type="spellEnd"/>
      <w:r w:rsidRPr="000654AD">
        <w:rPr>
          <w:rFonts w:ascii="Arial" w:eastAsia="Times New Roman" w:hAnsi="Arial" w:cs="Arial"/>
          <w:lang w:val="en-US" w:eastAsia="en-AU"/>
        </w:rPr>
        <w:t xml:space="preserve"> about gender order and gender relations as they might impact on the institutions and practices of women and girls in education enabled insightful histories such as that by Jill Matthews on a school subject like home economics, or Alison Mackinnon on the history of women in higher education and the new professions opening to women. The most accomplished work in the historiography that addressed the history of girls’ schooling and women teachers was Marjorie </w:t>
      </w:r>
      <w:proofErr w:type="spellStart"/>
      <w:r w:rsidRPr="000654AD">
        <w:rPr>
          <w:rFonts w:ascii="Arial" w:eastAsia="Times New Roman" w:hAnsi="Arial" w:cs="Arial"/>
          <w:lang w:val="en-US" w:eastAsia="en-AU"/>
        </w:rPr>
        <w:t>Theobald’s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Knowing Women</w:t>
      </w:r>
      <w:r w:rsidRPr="000654AD">
        <w:rPr>
          <w:rFonts w:ascii="Arial" w:eastAsia="Times New Roman" w:hAnsi="Arial" w:cs="Arial"/>
          <w:lang w:val="en-US" w:eastAsia="en-AU"/>
        </w:rPr>
        <w:t xml:space="preserve"> (1996).</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Foucault and cultural studies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As the work of </w:t>
      </w:r>
      <w:hyperlink r:id="rId10" w:tooltip="Foucault" w:history="1">
        <w:r w:rsidRPr="000654AD">
          <w:rPr>
            <w:rFonts w:ascii="Arial" w:eastAsia="Times New Roman" w:hAnsi="Arial" w:cs="Arial"/>
            <w:lang w:val="en-US" w:eastAsia="en-AU"/>
          </w:rPr>
          <w:t xml:space="preserve">Michel Foucault </w:t>
        </w:r>
      </w:hyperlink>
      <w:r w:rsidRPr="000654AD">
        <w:rPr>
          <w:rFonts w:ascii="Arial" w:eastAsia="Times New Roman" w:hAnsi="Arial" w:cs="Arial"/>
          <w:lang w:val="en-US" w:eastAsia="en-AU"/>
        </w:rPr>
        <w:t xml:space="preserve">became well known among historians of education, mainly in the </w:t>
      </w:r>
      <w:proofErr w:type="spellStart"/>
      <w:r w:rsidRPr="000654AD">
        <w:rPr>
          <w:rFonts w:ascii="Arial" w:eastAsia="Times New Roman" w:hAnsi="Arial" w:cs="Arial"/>
          <w:lang w:val="en-US" w:eastAsia="en-AU"/>
        </w:rPr>
        <w:t>1980s</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1990s</w:t>
      </w:r>
      <w:proofErr w:type="spellEnd"/>
      <w:r w:rsidRPr="000654AD">
        <w:rPr>
          <w:rFonts w:ascii="Arial" w:eastAsia="Times New Roman" w:hAnsi="Arial" w:cs="Arial"/>
          <w:lang w:val="en-US" w:eastAsia="en-AU"/>
        </w:rPr>
        <w:t xml:space="preserve">, it initially promised a major influence on the historiography, but few histories have been published so far that consistently employ his theories and methodologies. Nevertheless the arguments surrounding genealogies, power, subjectivities, confining institutions, and discipline and punishment for example, have had some influence. One issue of the </w:t>
      </w:r>
      <w:r w:rsidRPr="000654AD">
        <w:rPr>
          <w:rFonts w:ascii="Arial" w:eastAsia="Times New Roman" w:hAnsi="Arial" w:cs="Arial"/>
          <w:i/>
          <w:iCs/>
          <w:lang w:val="en-US" w:eastAsia="en-AU"/>
        </w:rPr>
        <w:t xml:space="preserve">History of Education Review </w:t>
      </w:r>
      <w:r w:rsidRPr="000654AD">
        <w:rPr>
          <w:rFonts w:ascii="Arial" w:eastAsia="Times New Roman" w:hAnsi="Arial" w:cs="Arial"/>
          <w:lang w:val="en-US" w:eastAsia="en-AU"/>
        </w:rPr>
        <w:t xml:space="preserve">(vol. 20: 2, 1991) engaged with the possibilities for the historiography. The writing of Nicolas Rose, including his </w:t>
      </w:r>
      <w:r w:rsidRPr="000654AD">
        <w:rPr>
          <w:rFonts w:ascii="Arial" w:eastAsia="Times New Roman" w:hAnsi="Arial" w:cs="Arial"/>
          <w:i/>
          <w:iCs/>
          <w:lang w:val="en-US" w:eastAsia="en-AU"/>
        </w:rPr>
        <w:t xml:space="preserve">Governing the Soul: The shaping of the private self </w:t>
      </w:r>
      <w:r w:rsidRPr="000654AD">
        <w:rPr>
          <w:rFonts w:ascii="Arial" w:eastAsia="Times New Roman" w:hAnsi="Arial" w:cs="Arial"/>
          <w:lang w:val="en-US" w:eastAsia="en-AU"/>
        </w:rPr>
        <w:t>(1990) received a specially commissioned review in the issue.</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new cross disciplinary field, cultural studies, produced the more significant </w:t>
      </w:r>
      <w:proofErr w:type="spellStart"/>
      <w:r w:rsidRPr="000654AD">
        <w:rPr>
          <w:rFonts w:ascii="Arial" w:eastAsia="Times New Roman" w:hAnsi="Arial" w:cs="Arial"/>
          <w:lang w:val="en-US" w:eastAsia="en-AU"/>
        </w:rPr>
        <w:t>Foucaultian</w:t>
      </w:r>
      <w:proofErr w:type="spellEnd"/>
      <w:r w:rsidRPr="000654AD">
        <w:rPr>
          <w:rFonts w:ascii="Arial" w:eastAsia="Times New Roman" w:hAnsi="Arial" w:cs="Arial"/>
          <w:lang w:val="en-US" w:eastAsia="en-AU"/>
        </w:rPr>
        <w:t xml:space="preserve"> studies that may or may not have included some insights into educational history. Ian Hunter’s </w:t>
      </w:r>
      <w:r w:rsidRPr="000654AD">
        <w:rPr>
          <w:rFonts w:ascii="Arial" w:eastAsia="Times New Roman" w:hAnsi="Arial" w:cs="Arial"/>
          <w:i/>
          <w:iCs/>
          <w:lang w:val="en-US" w:eastAsia="en-AU"/>
        </w:rPr>
        <w:t>Rethinking the School: Subjectivity, bureaucracy, criticism</w:t>
      </w:r>
      <w:r w:rsidRPr="000654AD">
        <w:rPr>
          <w:rFonts w:ascii="Arial" w:eastAsia="Times New Roman" w:hAnsi="Arial" w:cs="Arial"/>
          <w:lang w:val="en-US" w:eastAsia="en-AU"/>
        </w:rPr>
        <w:t xml:space="preserve"> (1994) included a critique of revisionist historiography in education. </w:t>
      </w:r>
      <w:proofErr w:type="spellStart"/>
      <w:r w:rsidRPr="000654AD">
        <w:rPr>
          <w:rFonts w:ascii="Arial" w:eastAsia="Times New Roman" w:hAnsi="Arial" w:cs="Arial"/>
          <w:lang w:val="en-US" w:eastAsia="en-AU"/>
        </w:rPr>
        <w:t>Selleck’s</w:t>
      </w:r>
      <w:proofErr w:type="spellEnd"/>
      <w:r w:rsidRPr="000654AD">
        <w:rPr>
          <w:rFonts w:ascii="Arial" w:eastAsia="Times New Roman" w:hAnsi="Arial" w:cs="Arial"/>
          <w:lang w:val="en-US" w:eastAsia="en-AU"/>
        </w:rPr>
        <w:t xml:space="preserve"> 1991 review of Hunter’s </w:t>
      </w:r>
      <w:r w:rsidRPr="000654AD">
        <w:rPr>
          <w:rFonts w:ascii="Arial" w:eastAsia="Times New Roman" w:hAnsi="Arial" w:cs="Arial"/>
          <w:i/>
          <w:iCs/>
          <w:lang w:val="en-US" w:eastAsia="en-AU"/>
        </w:rPr>
        <w:t>Culture and Government: The emergence of literary education</w:t>
      </w:r>
      <w:r w:rsidRPr="000654AD">
        <w:rPr>
          <w:rFonts w:ascii="Arial" w:eastAsia="Times New Roman" w:hAnsi="Arial" w:cs="Arial"/>
          <w:lang w:val="en-US" w:eastAsia="en-AU"/>
        </w:rPr>
        <w:t xml:space="preserve"> (1988) regarded much work inspired by Foucault as useful and occasionally brilliant, but also argued that the studies were often marred by an alienating language that mystified historical analysis. One of the more successful </w:t>
      </w:r>
      <w:proofErr w:type="spellStart"/>
      <w:r w:rsidRPr="000654AD">
        <w:rPr>
          <w:rFonts w:ascii="Arial" w:eastAsia="Times New Roman" w:hAnsi="Arial" w:cs="Arial"/>
          <w:lang w:val="en-US" w:eastAsia="en-AU"/>
        </w:rPr>
        <w:t>Foucaultian</w:t>
      </w:r>
      <w:proofErr w:type="spellEnd"/>
      <w:r w:rsidRPr="000654AD">
        <w:rPr>
          <w:rFonts w:ascii="Arial" w:eastAsia="Times New Roman" w:hAnsi="Arial" w:cs="Arial"/>
          <w:lang w:val="en-US" w:eastAsia="en-AU"/>
        </w:rPr>
        <w:t xml:space="preserve"> inspired studies of Australian schooling was David Kirk’s </w:t>
      </w:r>
      <w:r w:rsidRPr="000654AD">
        <w:rPr>
          <w:rFonts w:ascii="Arial" w:eastAsia="Times New Roman" w:hAnsi="Arial" w:cs="Arial"/>
          <w:i/>
          <w:iCs/>
          <w:lang w:val="en-US" w:eastAsia="en-AU"/>
        </w:rPr>
        <w:t>Schooling bodies</w:t>
      </w:r>
      <w:r w:rsidRPr="000654AD">
        <w:rPr>
          <w:rFonts w:ascii="Arial" w:eastAsia="Times New Roman" w:hAnsi="Arial" w:cs="Arial"/>
          <w:lang w:val="en-US" w:eastAsia="en-AU"/>
        </w:rPr>
        <w:t xml:space="preserve"> (1998). It provided a much-needed history of physical education in Australia.</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From the </w:t>
      </w:r>
      <w:proofErr w:type="spellStart"/>
      <w:r w:rsidRPr="000654AD">
        <w:rPr>
          <w:rFonts w:ascii="Arial" w:eastAsia="Times New Roman" w:hAnsi="Arial" w:cs="Arial"/>
          <w:lang w:val="en-US" w:eastAsia="en-AU"/>
        </w:rPr>
        <w:t>1990s</w:t>
      </w:r>
      <w:proofErr w:type="spellEnd"/>
      <w:r w:rsidRPr="000654AD">
        <w:rPr>
          <w:rFonts w:ascii="Arial" w:eastAsia="Times New Roman" w:hAnsi="Arial" w:cs="Arial"/>
          <w:lang w:val="en-US" w:eastAsia="en-AU"/>
        </w:rPr>
        <w:t xml:space="preserve">, studies emerged that were inspired by topics emerging from cultural studies. Josephine May’s history of the representations of </w:t>
      </w:r>
      <w:hyperlink r:id="rId11" w:tooltip="Films with students, teachers and schooling" w:history="1">
        <w:r w:rsidRPr="000654AD">
          <w:rPr>
            <w:rFonts w:ascii="Arial" w:eastAsia="Times New Roman" w:hAnsi="Arial" w:cs="Arial"/>
            <w:lang w:val="en-US" w:eastAsia="en-AU"/>
          </w:rPr>
          <w:t>Australian schools and school children in film</w:t>
        </w:r>
      </w:hyperlink>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 xml:space="preserve">Reel schools </w:t>
      </w:r>
      <w:r w:rsidRPr="000654AD">
        <w:rPr>
          <w:rFonts w:ascii="Arial" w:eastAsia="Times New Roman" w:hAnsi="Arial" w:cs="Arial"/>
          <w:lang w:val="en-US" w:eastAsia="en-AU"/>
        </w:rPr>
        <w:t xml:space="preserve">(2013), owes much to the new questions arising from cultural and media studies. Studies of texts and sometimes visual materials, and the discourses of education they encouraged, grew in number in the early twentieth-first century. Julie McLeod and Katie Wright’s </w:t>
      </w:r>
      <w:r w:rsidRPr="000654AD">
        <w:rPr>
          <w:rFonts w:ascii="Arial" w:eastAsia="Times New Roman" w:hAnsi="Arial" w:cs="Arial"/>
          <w:i/>
          <w:iCs/>
          <w:lang w:val="en-US" w:eastAsia="en-AU"/>
        </w:rPr>
        <w:t>The Promise of the New and Genealogies of Education Reform</w:t>
      </w:r>
      <w:r w:rsidRPr="000654AD">
        <w:rPr>
          <w:rFonts w:ascii="Arial" w:eastAsia="Times New Roman" w:hAnsi="Arial" w:cs="Arial"/>
          <w:lang w:val="en-US" w:eastAsia="en-AU"/>
        </w:rPr>
        <w:t xml:space="preserve"> (2014) is a study of educational thinking in the </w:t>
      </w:r>
      <w:proofErr w:type="spellStart"/>
      <w:r w:rsidRPr="000654AD">
        <w:rPr>
          <w:rFonts w:ascii="Arial" w:eastAsia="Times New Roman" w:hAnsi="Arial" w:cs="Arial"/>
          <w:lang w:val="en-US" w:eastAsia="en-AU"/>
        </w:rPr>
        <w:t>1920s</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1930s</w:t>
      </w:r>
      <w:proofErr w:type="spellEnd"/>
      <w:r w:rsidRPr="000654AD">
        <w:rPr>
          <w:rFonts w:ascii="Arial" w:eastAsia="Times New Roman" w:hAnsi="Arial" w:cs="Arial"/>
          <w:lang w:val="en-US" w:eastAsia="en-AU"/>
        </w:rPr>
        <w:t xml:space="preserve"> that fostered new social and personal </w:t>
      </w:r>
      <w:proofErr w:type="spellStart"/>
      <w:r w:rsidRPr="000654AD">
        <w:rPr>
          <w:rFonts w:ascii="Arial" w:eastAsia="Times New Roman" w:hAnsi="Arial" w:cs="Arial"/>
          <w:lang w:val="en-US" w:eastAsia="en-AU"/>
        </w:rPr>
        <w:t>knowledges</w:t>
      </w:r>
      <w:proofErr w:type="spellEnd"/>
      <w:r w:rsidRPr="000654AD">
        <w:rPr>
          <w:rFonts w:ascii="Arial" w:eastAsia="Times New Roman" w:hAnsi="Arial" w:cs="Arial"/>
          <w:lang w:val="en-US" w:eastAsia="en-AU"/>
        </w:rPr>
        <w:t xml:space="preserve"> that might transform self and society. A concentration on issues such as changing identities and subjectivities, representations and signifying practices were often at the heart of this developing historiography. Older concerns, for example with the inequalities of access and opportunity in education, so important in the revisionist historiography, were not necessarily abandoned. The arguments developed with a new language and a different approach to the collection and reading of relevant evidence.</w:t>
      </w:r>
    </w:p>
    <w:p w:rsidR="000654AD" w:rsidRPr="000654AD" w:rsidRDefault="000654AD" w:rsidP="000654AD">
      <w:pPr>
        <w:spacing w:after="92"/>
        <w:textAlignment w:val="top"/>
        <w:outlineLvl w:val="1"/>
        <w:rPr>
          <w:rFonts w:ascii="Lato" w:eastAsia="Times New Roman" w:hAnsi="Lato" w:cs="Arial"/>
          <w:b/>
          <w:bCs/>
          <w:sz w:val="36"/>
          <w:szCs w:val="36"/>
          <w:lang w:val="en-US" w:eastAsia="en-AU"/>
        </w:rPr>
      </w:pPr>
      <w:r w:rsidRPr="000654AD">
        <w:rPr>
          <w:rFonts w:ascii="Lato" w:eastAsia="Times New Roman" w:hAnsi="Lato" w:cs="Arial"/>
          <w:b/>
          <w:bCs/>
          <w:sz w:val="36"/>
          <w:szCs w:val="36"/>
          <w:lang w:val="en-US" w:eastAsia="en-AU"/>
        </w:rPr>
        <w:lastRenderedPageBreak/>
        <w:t xml:space="preserve">The </w:t>
      </w:r>
      <w:proofErr w:type="spellStart"/>
      <w:r w:rsidRPr="000654AD">
        <w:rPr>
          <w:rFonts w:ascii="Lato" w:eastAsia="Times New Roman" w:hAnsi="Lato" w:cs="Arial"/>
          <w:b/>
          <w:bCs/>
          <w:sz w:val="36"/>
          <w:szCs w:val="36"/>
          <w:lang w:val="en-US" w:eastAsia="en-AU"/>
        </w:rPr>
        <w:t>historiographical</w:t>
      </w:r>
      <w:proofErr w:type="spellEnd"/>
      <w:r w:rsidRPr="000654AD">
        <w:rPr>
          <w:rFonts w:ascii="Lato" w:eastAsia="Times New Roman" w:hAnsi="Lato" w:cs="Arial"/>
          <w:b/>
          <w:bCs/>
          <w:sz w:val="36"/>
          <w:szCs w:val="36"/>
          <w:lang w:val="en-US" w:eastAsia="en-AU"/>
        </w:rPr>
        <w:t xml:space="preserve"> challenge for selected themes and topics in education</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Indigenous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New demands were made on the historiography if the educational histories of Australian Aboriginal and Torres Strait Islander peoples were to be told. The existing historiography is limited. Jim Fletcher’s </w:t>
      </w:r>
      <w:r w:rsidRPr="000654AD">
        <w:rPr>
          <w:rFonts w:ascii="Arial" w:eastAsia="Times New Roman" w:hAnsi="Arial" w:cs="Arial"/>
          <w:i/>
          <w:iCs/>
          <w:lang w:val="en-US" w:eastAsia="en-AU"/>
        </w:rPr>
        <w:t>Clean, Clad and Courteous</w:t>
      </w:r>
      <w:r w:rsidRPr="000654AD">
        <w:rPr>
          <w:rFonts w:ascii="Arial" w:eastAsia="Times New Roman" w:hAnsi="Arial" w:cs="Arial"/>
          <w:lang w:val="en-US" w:eastAsia="en-AU"/>
        </w:rPr>
        <w:t xml:space="preserve">(1989) is an exception. It documents the variable access and exclusions of Aboriginal people from public education in New South Wales. Historians such as Anna </w:t>
      </w:r>
      <w:proofErr w:type="spellStart"/>
      <w:r w:rsidRPr="000654AD">
        <w:rPr>
          <w:rFonts w:ascii="Arial" w:eastAsia="Times New Roman" w:hAnsi="Arial" w:cs="Arial"/>
          <w:lang w:val="en-US" w:eastAsia="en-AU"/>
        </w:rPr>
        <w:t>Haebich</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Broken Circles</w:t>
      </w:r>
      <w:r w:rsidRPr="000654AD">
        <w:rPr>
          <w:rFonts w:ascii="Arial" w:eastAsia="Times New Roman" w:hAnsi="Arial" w:cs="Arial"/>
          <w:lang w:val="en-US" w:eastAsia="en-AU"/>
        </w:rPr>
        <w:t xml:space="preserve"> (2000), often touched on schooling, and essays such as those by Quentin Beresford in </w:t>
      </w:r>
      <w:r w:rsidRPr="000654AD">
        <w:rPr>
          <w:rFonts w:ascii="Arial" w:eastAsia="Times New Roman" w:hAnsi="Arial" w:cs="Arial"/>
          <w:i/>
          <w:iCs/>
          <w:lang w:val="en-US" w:eastAsia="en-AU"/>
        </w:rPr>
        <w:t>Reform and Resistance in Aboriginal Education</w:t>
      </w:r>
      <w:r w:rsidRPr="000654AD">
        <w:rPr>
          <w:rFonts w:ascii="Arial" w:eastAsia="Times New Roman" w:hAnsi="Arial" w:cs="Arial"/>
          <w:lang w:val="en-US" w:eastAsia="en-AU"/>
        </w:rPr>
        <w:t xml:space="preserve"> (2003) provide valuable surveys. Nevertheless the historiography lacks studies that develop the themes of surviving pedagogies, colonialism, racism, community resistance and agency. There is only one substantial history of a school for Aboriginal children, Brook and </w:t>
      </w:r>
      <w:proofErr w:type="spellStart"/>
      <w:r w:rsidRPr="000654AD">
        <w:rPr>
          <w:rFonts w:ascii="Arial" w:eastAsia="Times New Roman" w:hAnsi="Arial" w:cs="Arial"/>
          <w:lang w:val="en-US" w:eastAsia="en-AU"/>
        </w:rPr>
        <w:t>Kohen’s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The Parramatta Native Institution and the Black Town</w:t>
      </w:r>
      <w:r w:rsidRPr="000654AD">
        <w:rPr>
          <w:rFonts w:ascii="Arial" w:eastAsia="Times New Roman" w:hAnsi="Arial" w:cs="Arial"/>
          <w:lang w:val="en-US" w:eastAsia="en-AU"/>
        </w:rPr>
        <w:t xml:space="preserve"> (1991). The voices of Indigenous peoples have yet to be published in substantial histories, though the book </w:t>
      </w:r>
      <w:r w:rsidRPr="000654AD">
        <w:rPr>
          <w:rFonts w:ascii="Arial" w:eastAsia="Times New Roman" w:hAnsi="Arial" w:cs="Arial"/>
          <w:i/>
          <w:iCs/>
          <w:lang w:val="en-US" w:eastAsia="en-AU"/>
        </w:rPr>
        <w:t>Trying to Get It Back: Indigenous women, education and culture</w:t>
      </w:r>
      <w:r w:rsidRPr="000654AD">
        <w:rPr>
          <w:rFonts w:ascii="Arial" w:eastAsia="Times New Roman" w:hAnsi="Arial" w:cs="Arial"/>
          <w:lang w:val="en-US" w:eastAsia="en-AU"/>
        </w:rPr>
        <w:t xml:space="preserve"> (2000) by Gillian Weiss and collaborators made an excellent start. A. Williamson’s </w:t>
      </w:r>
      <w:r w:rsidRPr="000654AD">
        <w:rPr>
          <w:rFonts w:ascii="Arial" w:eastAsia="Times New Roman" w:hAnsi="Arial" w:cs="Arial"/>
          <w:i/>
          <w:iCs/>
          <w:lang w:val="en-US" w:eastAsia="en-AU"/>
        </w:rPr>
        <w:t>Schooling the Torres Strait Islanders 1873 to 1941</w:t>
      </w:r>
      <w:r w:rsidRPr="000654AD">
        <w:rPr>
          <w:rFonts w:ascii="Arial" w:eastAsia="Times New Roman" w:hAnsi="Arial" w:cs="Arial"/>
          <w:lang w:val="en-US" w:eastAsia="en-AU"/>
        </w:rPr>
        <w:t xml:space="preserve"> (1994) provided another rare and valuable contribution to the historiography.</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 xml:space="preserve">Catholics </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Whig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tradition usually constructed the opposition of the Catholic Church in Australia to the emergence of mainly secular public education systems as contrary to reason, economy, and the delivering of good access for all young people to efficient schooling. The Roman Catholic Church did not reconcile to the passing of the </w:t>
      </w:r>
      <w:hyperlink r:id="rId12" w:tooltip="Free, compulsory and secular Education Acts" w:history="1">
        <w:r w:rsidRPr="000654AD">
          <w:rPr>
            <w:rFonts w:ascii="Arial" w:eastAsia="Times New Roman" w:hAnsi="Arial" w:cs="Arial"/>
            <w:lang w:val="en-US" w:eastAsia="en-AU"/>
          </w:rPr>
          <w:t xml:space="preserve">Education Acts of the </w:t>
        </w:r>
        <w:proofErr w:type="spellStart"/>
        <w:r w:rsidRPr="000654AD">
          <w:rPr>
            <w:rFonts w:ascii="Arial" w:eastAsia="Times New Roman" w:hAnsi="Arial" w:cs="Arial"/>
            <w:lang w:val="en-US" w:eastAsia="en-AU"/>
          </w:rPr>
          <w:t>1870s</w:t>
        </w:r>
        <w:proofErr w:type="spellEnd"/>
      </w:hyperlink>
      <w:r w:rsidRPr="000654AD">
        <w:rPr>
          <w:rFonts w:ascii="Arial" w:eastAsia="Times New Roman" w:hAnsi="Arial" w:cs="Arial"/>
          <w:lang w:val="en-US" w:eastAsia="en-AU"/>
        </w:rPr>
        <w:t>. The struggle to build an alternative set of Catholic schools and school systems inspired an historiography that could resemble heroic saga and hagiography [see</w:t>
      </w:r>
      <w:r w:rsidRPr="000654AD">
        <w:rPr>
          <w:rFonts w:ascii="Arial" w:eastAsia="Times New Roman" w:hAnsi="Arial" w:cs="Arial"/>
          <w:i/>
          <w:iCs/>
          <w:lang w:val="en-US" w:eastAsia="en-AU"/>
        </w:rPr>
        <w:t xml:space="preserve"> Glossary</w:t>
      </w:r>
      <w:r w:rsidRPr="000654AD">
        <w:rPr>
          <w:rFonts w:ascii="Arial" w:eastAsia="Times New Roman" w:hAnsi="Arial" w:cs="Arial"/>
          <w:lang w:val="en-US" w:eastAsia="en-AU"/>
        </w:rPr>
        <w:t xml:space="preserve">]. From this resistance politics, a Catholic historical literature emerged that shared parallel characteristics to the Whig tradition, in reverse. Fogarty’s </w:t>
      </w:r>
      <w:r w:rsidRPr="000654AD">
        <w:rPr>
          <w:rFonts w:ascii="Arial" w:eastAsia="Times New Roman" w:hAnsi="Arial" w:cs="Arial"/>
          <w:i/>
          <w:iCs/>
          <w:lang w:val="en-US" w:eastAsia="en-AU"/>
        </w:rPr>
        <w:t xml:space="preserve">Catholic Education in Australia 1806-1950 </w:t>
      </w:r>
      <w:r w:rsidRPr="000654AD">
        <w:rPr>
          <w:rFonts w:ascii="Arial" w:eastAsia="Times New Roman" w:hAnsi="Arial" w:cs="Arial"/>
          <w:lang w:val="en-US" w:eastAsia="en-AU"/>
        </w:rPr>
        <w:t>(1959) is the key work in this tradition, though without obvious hagiographical characteristics.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Mary </w:t>
      </w:r>
      <w:proofErr w:type="spellStart"/>
      <w:r w:rsidRPr="000654AD">
        <w:rPr>
          <w:rFonts w:ascii="Arial" w:eastAsia="Times New Roman" w:hAnsi="Arial" w:cs="Arial"/>
          <w:lang w:val="en-US" w:eastAsia="en-AU"/>
        </w:rPr>
        <w:t>McKillop</w:t>
      </w:r>
      <w:proofErr w:type="spellEnd"/>
      <w:r w:rsidRPr="000654AD">
        <w:rPr>
          <w:rFonts w:ascii="Arial" w:eastAsia="Times New Roman" w:hAnsi="Arial" w:cs="Arial"/>
          <w:lang w:val="en-US" w:eastAsia="en-AU"/>
        </w:rPr>
        <w:t xml:space="preserve"> was </w:t>
      </w:r>
      <w:proofErr w:type="spellStart"/>
      <w:r w:rsidRPr="000654AD">
        <w:rPr>
          <w:rFonts w:ascii="Arial" w:eastAsia="Times New Roman" w:hAnsi="Arial" w:cs="Arial"/>
          <w:lang w:val="en-US" w:eastAsia="en-AU"/>
        </w:rPr>
        <w:t>canonised</w:t>
      </w:r>
      <w:proofErr w:type="spellEnd"/>
      <w:r w:rsidRPr="000654AD">
        <w:rPr>
          <w:rFonts w:ascii="Arial" w:eastAsia="Times New Roman" w:hAnsi="Arial" w:cs="Arial"/>
          <w:lang w:val="en-US" w:eastAsia="en-AU"/>
        </w:rPr>
        <w:t xml:space="preserve"> in 2010. She was the founder of the Sisters of St Joseph and of many parochial Catholic schools across Australia. Her sainthood has encouraged a hagiography that incorporates glowing histories of Catholic schooling, at least in the popular media. Popular histories of the </w:t>
      </w:r>
      <w:proofErr w:type="spellStart"/>
      <w:r w:rsidRPr="000654AD">
        <w:rPr>
          <w:rFonts w:ascii="Arial" w:eastAsia="Times New Roman" w:hAnsi="Arial" w:cs="Arial"/>
          <w:lang w:val="en-US" w:eastAsia="en-AU"/>
        </w:rPr>
        <w:t>Goulburn</w:t>
      </w:r>
      <w:proofErr w:type="spellEnd"/>
      <w:r w:rsidRPr="000654AD">
        <w:rPr>
          <w:rFonts w:ascii="Arial" w:eastAsia="Times New Roman" w:hAnsi="Arial" w:cs="Arial"/>
          <w:lang w:val="en-US" w:eastAsia="en-AU"/>
        </w:rPr>
        <w:t xml:space="preserve"> diocese school strike in 1962, in protesting state aid denial, are often in this tradition also. Recently a more critical historiography of Catholic education has begun to emerge. Barry </w:t>
      </w:r>
      <w:proofErr w:type="spellStart"/>
      <w:r w:rsidRPr="000654AD">
        <w:rPr>
          <w:rFonts w:ascii="Arial" w:eastAsia="Times New Roman" w:hAnsi="Arial" w:cs="Arial"/>
          <w:lang w:val="en-US" w:eastAsia="en-AU"/>
        </w:rPr>
        <w:t>Coldrey’s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The Scheme: The Christian Brothers and child care in Western Australia</w:t>
      </w:r>
      <w:r w:rsidRPr="000654AD">
        <w:rPr>
          <w:rFonts w:ascii="Arial" w:eastAsia="Times New Roman" w:hAnsi="Arial" w:cs="Arial"/>
          <w:lang w:val="en-US" w:eastAsia="en-AU"/>
        </w:rPr>
        <w:t xml:space="preserve"> (1993) provided an early exposure of systematic child abuse in Catholic institutions. Feminist historians have sought to </w:t>
      </w:r>
      <w:proofErr w:type="spellStart"/>
      <w:r w:rsidRPr="000654AD">
        <w:rPr>
          <w:rFonts w:ascii="Arial" w:eastAsia="Times New Roman" w:hAnsi="Arial" w:cs="Arial"/>
          <w:lang w:val="en-US" w:eastAsia="en-AU"/>
        </w:rPr>
        <w:t>recognise</w:t>
      </w:r>
      <w:proofErr w:type="spellEnd"/>
      <w:r w:rsidRPr="000654AD">
        <w:rPr>
          <w:rFonts w:ascii="Arial" w:eastAsia="Times New Roman" w:hAnsi="Arial" w:cs="Arial"/>
          <w:lang w:val="en-US" w:eastAsia="en-AU"/>
        </w:rPr>
        <w:t xml:space="preserve"> the often ignored stories of women and girls, lay and religious (see above). Others, especially Tom </w:t>
      </w:r>
      <w:proofErr w:type="spellStart"/>
      <w:r w:rsidRPr="000654AD">
        <w:rPr>
          <w:rFonts w:ascii="Arial" w:eastAsia="Times New Roman" w:hAnsi="Arial" w:cs="Arial"/>
          <w:lang w:val="en-US" w:eastAsia="en-AU"/>
        </w:rPr>
        <w:t>O’Donoghue</w:t>
      </w:r>
      <w:proofErr w:type="spellEnd"/>
      <w:r w:rsidRPr="000654AD">
        <w:rPr>
          <w:rFonts w:ascii="Arial" w:eastAsia="Times New Roman" w:hAnsi="Arial" w:cs="Arial"/>
          <w:lang w:val="en-US" w:eastAsia="en-AU"/>
        </w:rPr>
        <w:t xml:space="preserve"> have addressed the authoritarian traditions of the Church, and its difficult history of child abuse. His </w:t>
      </w:r>
      <w:r w:rsidRPr="000654AD">
        <w:rPr>
          <w:rFonts w:ascii="Arial" w:eastAsia="Times New Roman" w:hAnsi="Arial" w:cs="Arial"/>
          <w:i/>
          <w:iCs/>
          <w:lang w:val="en-US" w:eastAsia="en-AU"/>
        </w:rPr>
        <w:t>Upholding the Faith</w:t>
      </w:r>
      <w:r w:rsidRPr="000654AD">
        <w:rPr>
          <w:rFonts w:ascii="Arial" w:eastAsia="Times New Roman" w:hAnsi="Arial" w:cs="Arial"/>
          <w:lang w:val="en-US" w:eastAsia="en-AU"/>
        </w:rPr>
        <w:t xml:space="preserve"> (2001) represented a sharp challenge to the dominant Catholic educational historiography.</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Childhood and youth</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Whig tradition did not address children and youth other than as the passive subjects of the good intentions of school founders and leaders. It is the rise of social history and revisionism that allowed a different focus. Lesley Johnson’s </w:t>
      </w:r>
      <w:r w:rsidRPr="000654AD">
        <w:rPr>
          <w:rFonts w:ascii="Arial" w:eastAsia="Times New Roman" w:hAnsi="Arial" w:cs="Arial"/>
          <w:i/>
          <w:iCs/>
          <w:lang w:val="en-US" w:eastAsia="en-AU"/>
        </w:rPr>
        <w:t xml:space="preserve">The Modern Girl: Girlhood and growing up </w:t>
      </w:r>
      <w:r w:rsidRPr="000654AD">
        <w:rPr>
          <w:rFonts w:ascii="Arial" w:eastAsia="Times New Roman" w:hAnsi="Arial" w:cs="Arial"/>
          <w:lang w:val="en-US" w:eastAsia="en-AU"/>
        </w:rPr>
        <w:t>(1993) and</w:t>
      </w:r>
      <w:r w:rsidRPr="000654AD">
        <w:rPr>
          <w:rFonts w:ascii="Arial" w:eastAsia="Times New Roman" w:hAnsi="Arial" w:cs="Arial"/>
          <w:i/>
          <w:iCs/>
          <w:lang w:val="en-US" w:eastAsia="en-AU"/>
        </w:rPr>
        <w:t xml:space="preserve"> </w:t>
      </w:r>
      <w:r w:rsidRPr="000654AD">
        <w:rPr>
          <w:rFonts w:ascii="Arial" w:eastAsia="Times New Roman" w:hAnsi="Arial" w:cs="Arial"/>
          <w:lang w:val="en-US" w:eastAsia="en-AU"/>
        </w:rPr>
        <w:t xml:space="preserve">Jan </w:t>
      </w:r>
      <w:proofErr w:type="spellStart"/>
      <w:r w:rsidRPr="000654AD">
        <w:rPr>
          <w:rFonts w:ascii="Arial" w:eastAsia="Times New Roman" w:hAnsi="Arial" w:cs="Arial"/>
          <w:lang w:val="en-US" w:eastAsia="en-AU"/>
        </w:rPr>
        <w:t>Kociumbas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 xml:space="preserve">Australian Childhood: A history </w:t>
      </w:r>
      <w:r w:rsidRPr="000654AD">
        <w:rPr>
          <w:rFonts w:ascii="Arial" w:eastAsia="Times New Roman" w:hAnsi="Arial" w:cs="Arial"/>
          <w:lang w:val="en-US" w:eastAsia="en-AU"/>
        </w:rPr>
        <w:t xml:space="preserve">(1997) provided </w:t>
      </w:r>
      <w:r w:rsidRPr="000654AD">
        <w:rPr>
          <w:rFonts w:ascii="Arial" w:eastAsia="Times New Roman" w:hAnsi="Arial" w:cs="Arial"/>
          <w:lang w:val="en-US" w:eastAsia="en-AU"/>
        </w:rPr>
        <w:lastRenderedPageBreak/>
        <w:t xml:space="preserve">significant studies, both influenced by revisionist and </w:t>
      </w:r>
      <w:proofErr w:type="spellStart"/>
      <w:r w:rsidRPr="000654AD">
        <w:rPr>
          <w:rFonts w:ascii="Arial" w:eastAsia="Times New Roman" w:hAnsi="Arial" w:cs="Arial"/>
          <w:lang w:val="en-US" w:eastAsia="en-AU"/>
        </w:rPr>
        <w:t>Foucaultian</w:t>
      </w:r>
      <w:proofErr w:type="spellEnd"/>
      <w:r w:rsidRPr="000654AD">
        <w:rPr>
          <w:rFonts w:ascii="Arial" w:eastAsia="Times New Roman" w:hAnsi="Arial" w:cs="Arial"/>
          <w:lang w:val="en-US" w:eastAsia="en-AU"/>
        </w:rPr>
        <w:t xml:space="preserve"> perspectives. Geoffrey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xml:space="preserve"> and Chris Jeffery’s </w:t>
      </w:r>
      <w:proofErr w:type="spellStart"/>
      <w:r w:rsidRPr="000654AD">
        <w:rPr>
          <w:rFonts w:ascii="Arial" w:eastAsia="Times New Roman" w:hAnsi="Arial" w:cs="Arial"/>
          <w:i/>
          <w:iCs/>
          <w:lang w:val="en-US" w:eastAsia="en-AU"/>
        </w:rPr>
        <w:t>Fairbridge</w:t>
      </w:r>
      <w:proofErr w:type="spellEnd"/>
      <w:r w:rsidRPr="000654AD">
        <w:rPr>
          <w:rFonts w:ascii="Arial" w:eastAsia="Times New Roman" w:hAnsi="Arial" w:cs="Arial"/>
          <w:i/>
          <w:iCs/>
          <w:lang w:val="en-US" w:eastAsia="en-AU"/>
        </w:rPr>
        <w:t>: Empire and child migration</w:t>
      </w:r>
      <w:r w:rsidRPr="000654AD">
        <w:rPr>
          <w:rFonts w:ascii="Arial" w:eastAsia="Times New Roman" w:hAnsi="Arial" w:cs="Arial"/>
          <w:lang w:val="en-US" w:eastAsia="en-AU"/>
        </w:rPr>
        <w:t xml:space="preserve"> (1998) provided a judicious historical assessment of the </w:t>
      </w:r>
      <w:proofErr w:type="spellStart"/>
      <w:r w:rsidRPr="000654AD">
        <w:rPr>
          <w:rFonts w:ascii="Arial" w:eastAsia="Times New Roman" w:hAnsi="Arial" w:cs="Arial"/>
          <w:lang w:val="en-US" w:eastAsia="en-AU"/>
        </w:rPr>
        <w:t>Fairbridge</w:t>
      </w:r>
      <w:proofErr w:type="spellEnd"/>
      <w:r w:rsidRPr="000654AD">
        <w:rPr>
          <w:rFonts w:ascii="Arial" w:eastAsia="Times New Roman" w:hAnsi="Arial" w:cs="Arial"/>
          <w:lang w:val="en-US" w:eastAsia="en-AU"/>
        </w:rPr>
        <w:t xml:space="preserve"> scheme in Australia. Three years earlier, Terry Irving, David Maunders and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wrote a comprehensive study of Australian youth policy since World War II.</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Schooling the powerful and wealthy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 book by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xml:space="preserve">, R. C. Petersen and Ian Brice, </w:t>
      </w:r>
      <w:r w:rsidRPr="000654AD">
        <w:rPr>
          <w:rFonts w:ascii="Arial" w:eastAsia="Times New Roman" w:hAnsi="Arial" w:cs="Arial"/>
          <w:i/>
          <w:iCs/>
          <w:lang w:val="en-US" w:eastAsia="en-AU"/>
        </w:rPr>
        <w:t>Learning to Lead</w:t>
      </w:r>
      <w:r w:rsidRPr="000654AD">
        <w:rPr>
          <w:rFonts w:ascii="Arial" w:eastAsia="Times New Roman" w:hAnsi="Arial" w:cs="Arial"/>
          <w:lang w:val="en-US" w:eastAsia="en-AU"/>
        </w:rPr>
        <w:t xml:space="preserve"> (1987), provided the first critical history of corporate non-government schools, those enrolling girls as well as boys. </w:t>
      </w:r>
      <w:proofErr w:type="spellStart"/>
      <w:r w:rsidRPr="000654AD">
        <w:rPr>
          <w:rFonts w:ascii="Arial" w:eastAsia="Times New Roman" w:hAnsi="Arial" w:cs="Arial"/>
          <w:lang w:val="en-US" w:eastAsia="en-AU"/>
        </w:rPr>
        <w:t>C.E.W.</w:t>
      </w:r>
      <w:proofErr w:type="spellEnd"/>
      <w:r w:rsidRPr="000654AD">
        <w:rPr>
          <w:rFonts w:ascii="Arial" w:eastAsia="Times New Roman" w:hAnsi="Arial" w:cs="Arial"/>
          <w:lang w:val="en-US" w:eastAsia="en-AU"/>
        </w:rPr>
        <w:t xml:space="preserve"> Bean’s </w:t>
      </w:r>
      <w:r w:rsidRPr="000654AD">
        <w:rPr>
          <w:rFonts w:ascii="Arial" w:eastAsia="Times New Roman" w:hAnsi="Arial" w:cs="Arial"/>
          <w:i/>
          <w:iCs/>
          <w:lang w:val="en-US" w:eastAsia="en-AU"/>
        </w:rPr>
        <w:t>Here My Son</w:t>
      </w:r>
      <w:r w:rsidRPr="000654AD">
        <w:rPr>
          <w:rFonts w:ascii="Arial" w:eastAsia="Times New Roman" w:hAnsi="Arial" w:cs="Arial"/>
          <w:lang w:val="en-US" w:eastAsia="en-AU"/>
        </w:rPr>
        <w:t xml:space="preserve"> (1950) addressed boys’ schools, writing mainly in the uncritical Whig tradition. Girls’ non-government schooling has received some attention apart from the celebratory school histories. A rich literature surrounds the historical significance of the founding of the Presbyterian Ladies College in Melbourne. The historiography addresses the degree to which the school and its curriculum were a part of first wave feminism, and questions the received narrative, that it represented a radical break with the older private ladies colleges. Kathleen Fitzpatrick and Marjorie </w:t>
      </w:r>
      <w:proofErr w:type="spellStart"/>
      <w:r w:rsidRPr="000654AD">
        <w:rPr>
          <w:rFonts w:ascii="Arial" w:eastAsia="Times New Roman" w:hAnsi="Arial" w:cs="Arial"/>
          <w:lang w:val="en-US" w:eastAsia="en-AU"/>
        </w:rPr>
        <w:t>Theobald</w:t>
      </w:r>
      <w:proofErr w:type="spellEnd"/>
      <w:r w:rsidRPr="000654AD">
        <w:rPr>
          <w:rFonts w:ascii="Arial" w:eastAsia="Times New Roman" w:hAnsi="Arial" w:cs="Arial"/>
          <w:lang w:val="en-US" w:eastAsia="en-AU"/>
        </w:rPr>
        <w:t xml:space="preserve"> provide the more significant arguments. Elizabeth </w:t>
      </w:r>
      <w:proofErr w:type="spellStart"/>
      <w:r w:rsidRPr="000654AD">
        <w:rPr>
          <w:rFonts w:ascii="Arial" w:eastAsia="Times New Roman" w:hAnsi="Arial" w:cs="Arial"/>
          <w:lang w:val="en-US" w:eastAsia="en-AU"/>
        </w:rPr>
        <w:t>Windschuttle’s</w:t>
      </w:r>
      <w:proofErr w:type="spellEnd"/>
      <w:r w:rsidRPr="000654AD">
        <w:rPr>
          <w:rFonts w:ascii="Arial" w:eastAsia="Times New Roman" w:hAnsi="Arial" w:cs="Arial"/>
          <w:lang w:val="en-US" w:eastAsia="en-AU"/>
        </w:rPr>
        <w:t xml:space="preserve"> article, ‘Educating the daughters of the ruling class in colonial New South Wales, 1788-1850’ (1980) also addressed the issues of power and wealth. Janet </w:t>
      </w:r>
      <w:proofErr w:type="spellStart"/>
      <w:r w:rsidRPr="000654AD">
        <w:rPr>
          <w:rFonts w:ascii="Arial" w:eastAsia="Times New Roman" w:hAnsi="Arial" w:cs="Arial"/>
          <w:lang w:val="en-US" w:eastAsia="en-AU"/>
        </w:rPr>
        <w:t>McCalman’s</w:t>
      </w:r>
      <w:proofErr w:type="spellEnd"/>
      <w:r w:rsidRPr="000654AD">
        <w:rPr>
          <w:rFonts w:ascii="Arial" w:eastAsia="Times New Roman" w:hAnsi="Arial" w:cs="Arial"/>
          <w:lang w:val="en-US" w:eastAsia="en-AU"/>
        </w:rPr>
        <w:t xml:space="preserve"> </w:t>
      </w:r>
      <w:proofErr w:type="spellStart"/>
      <w:r w:rsidRPr="000654AD">
        <w:rPr>
          <w:rFonts w:ascii="Arial" w:eastAsia="Times New Roman" w:hAnsi="Arial" w:cs="Arial"/>
          <w:i/>
          <w:iCs/>
          <w:lang w:val="en-US" w:eastAsia="en-AU"/>
        </w:rPr>
        <w:t>Journeyings</w:t>
      </w:r>
      <w:proofErr w:type="spellEnd"/>
      <w:r w:rsidRPr="000654AD">
        <w:rPr>
          <w:rFonts w:ascii="Arial" w:eastAsia="Times New Roman" w:hAnsi="Arial" w:cs="Arial"/>
          <w:i/>
          <w:iCs/>
          <w:lang w:val="en-US" w:eastAsia="en-AU"/>
        </w:rPr>
        <w:t>: Biography of a middle-class generation</w:t>
      </w:r>
      <w:r w:rsidRPr="000654AD">
        <w:rPr>
          <w:rFonts w:ascii="Arial" w:eastAsia="Times New Roman" w:hAnsi="Arial" w:cs="Arial"/>
          <w:lang w:val="en-US" w:eastAsia="en-AU"/>
        </w:rPr>
        <w:t xml:space="preserve"> (1993) remains an exceptionally good study of the way schooling shapes individual and collective cultures, indeed, leads to the construction of social classes. Gender is an increasingly acknowledged theme in the historiography of ruling class schooling. The most accomplished of the monographs addressing the history of Australian masculinities in the context of middle and ruling class schooling is that by Martin </w:t>
      </w:r>
      <w:proofErr w:type="spellStart"/>
      <w:r w:rsidRPr="000654AD">
        <w:rPr>
          <w:rFonts w:ascii="Arial" w:eastAsia="Times New Roman" w:hAnsi="Arial" w:cs="Arial"/>
          <w:lang w:val="en-US" w:eastAsia="en-AU"/>
        </w:rPr>
        <w:t>Crotty</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Making the Australian Male: Middle-class masculinity 1870-1920</w:t>
      </w:r>
      <w:r w:rsidRPr="000654AD">
        <w:rPr>
          <w:rFonts w:ascii="Arial" w:eastAsia="Times New Roman" w:hAnsi="Arial" w:cs="Arial"/>
          <w:lang w:val="en-US" w:eastAsia="en-AU"/>
        </w:rPr>
        <w:t xml:space="preserve"> (2001).</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Higher education</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There exist useful studies of individual universities and sometimes older agricultural, technical and other colleges of advanced education, though many of them reflect their origins as commissioned histories. </w:t>
      </w:r>
      <w:proofErr w:type="spellStart"/>
      <w:r w:rsidRPr="000654AD">
        <w:rPr>
          <w:rFonts w:ascii="Arial" w:eastAsia="Times New Roman" w:hAnsi="Arial" w:cs="Arial"/>
          <w:lang w:val="en-US" w:eastAsia="en-AU"/>
        </w:rPr>
        <w:t>W.J.</w:t>
      </w:r>
      <w:proofErr w:type="spellEnd"/>
      <w:r w:rsidRPr="000654AD">
        <w:rPr>
          <w:rFonts w:ascii="Arial" w:eastAsia="Times New Roman" w:hAnsi="Arial" w:cs="Arial"/>
          <w:lang w:val="en-US" w:eastAsia="en-AU"/>
        </w:rPr>
        <w:t xml:space="preserve"> Gardiner, Don Anderson, Susan Davies, Peter Musgrave and David Jones are some of the pioneers in writing broader histories. It is only very recently that studies are emerging that are both critical and comprehensive, for example, Hannah Forsyth’s </w:t>
      </w:r>
      <w:r w:rsidRPr="000654AD">
        <w:rPr>
          <w:rFonts w:ascii="Arial" w:eastAsia="Times New Roman" w:hAnsi="Arial" w:cs="Arial"/>
          <w:i/>
          <w:iCs/>
          <w:lang w:val="en-US" w:eastAsia="en-AU"/>
        </w:rPr>
        <w:t>Knowing Australia</w:t>
      </w:r>
      <w:r w:rsidRPr="000654AD">
        <w:rPr>
          <w:rFonts w:ascii="Arial" w:eastAsia="Times New Roman" w:hAnsi="Arial" w:cs="Arial"/>
          <w:lang w:val="en-US" w:eastAsia="en-AU"/>
        </w:rPr>
        <w:t xml:space="preserve"> (2014). There is a great need for further studies in this area. Ursula </w:t>
      </w:r>
      <w:proofErr w:type="spellStart"/>
      <w:r w:rsidRPr="000654AD">
        <w:rPr>
          <w:rFonts w:ascii="Arial" w:eastAsia="Times New Roman" w:hAnsi="Arial" w:cs="Arial"/>
          <w:lang w:val="en-US" w:eastAsia="en-AU"/>
        </w:rPr>
        <w:t>Bygott</w:t>
      </w:r>
      <w:proofErr w:type="spellEnd"/>
      <w:r w:rsidRPr="000654AD">
        <w:rPr>
          <w:rFonts w:ascii="Arial" w:eastAsia="Times New Roman" w:hAnsi="Arial" w:cs="Arial"/>
          <w:lang w:val="en-US" w:eastAsia="en-AU"/>
        </w:rPr>
        <w:t xml:space="preserve"> and Ken Cable’s </w:t>
      </w:r>
      <w:r w:rsidRPr="000654AD">
        <w:rPr>
          <w:rFonts w:ascii="Arial" w:eastAsia="Times New Roman" w:hAnsi="Arial" w:cs="Arial"/>
          <w:i/>
          <w:iCs/>
          <w:lang w:val="en-US" w:eastAsia="en-AU"/>
        </w:rPr>
        <w:t>Pioneer Women Graduates of the University of Sydney 1881-1921</w:t>
      </w:r>
      <w:r w:rsidRPr="000654AD">
        <w:rPr>
          <w:rFonts w:ascii="Arial" w:eastAsia="Times New Roman" w:hAnsi="Arial" w:cs="Arial"/>
          <w:lang w:val="en-US" w:eastAsia="en-AU"/>
        </w:rPr>
        <w:t xml:space="preserve"> (1985), Alison Mackinnon’s T</w:t>
      </w:r>
      <w:r w:rsidRPr="000654AD">
        <w:rPr>
          <w:rFonts w:ascii="Arial" w:eastAsia="Times New Roman" w:hAnsi="Arial" w:cs="Arial"/>
          <w:i/>
          <w:iCs/>
          <w:lang w:val="en-US" w:eastAsia="en-AU"/>
        </w:rPr>
        <w:t xml:space="preserve">he New Women: Adelaide’s early women graduates </w:t>
      </w:r>
      <w:r w:rsidRPr="000654AD">
        <w:rPr>
          <w:rFonts w:ascii="Arial" w:eastAsia="Times New Roman" w:hAnsi="Arial" w:cs="Arial"/>
          <w:lang w:val="en-US" w:eastAsia="en-AU"/>
        </w:rPr>
        <w:t xml:space="preserve">(1986) and Alan </w:t>
      </w:r>
      <w:proofErr w:type="spellStart"/>
      <w:r w:rsidRPr="000654AD">
        <w:rPr>
          <w:rFonts w:ascii="Arial" w:eastAsia="Times New Roman" w:hAnsi="Arial" w:cs="Arial"/>
          <w:lang w:val="en-US" w:eastAsia="en-AU"/>
        </w:rPr>
        <w:t>Barcan’s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Radical Students: The old left at Sydney University</w:t>
      </w:r>
      <w:r w:rsidRPr="000654AD">
        <w:rPr>
          <w:rFonts w:ascii="Arial" w:eastAsia="Times New Roman" w:hAnsi="Arial" w:cs="Arial"/>
          <w:lang w:val="en-US" w:eastAsia="en-AU"/>
        </w:rPr>
        <w:t xml:space="preserve"> (2002) are some of the few studies of students and graduates. Stuart </w:t>
      </w:r>
      <w:proofErr w:type="spellStart"/>
      <w:r w:rsidRPr="000654AD">
        <w:rPr>
          <w:rFonts w:ascii="Arial" w:eastAsia="Times New Roman" w:hAnsi="Arial" w:cs="Arial"/>
          <w:lang w:val="en-US" w:eastAsia="en-AU"/>
        </w:rPr>
        <w:t>MacIntyre’s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 xml:space="preserve">The Poor Relation: A history of social sciences in Australia </w:t>
      </w:r>
      <w:r w:rsidRPr="000654AD">
        <w:rPr>
          <w:rFonts w:ascii="Arial" w:eastAsia="Times New Roman" w:hAnsi="Arial" w:cs="Arial"/>
          <w:lang w:val="en-US" w:eastAsia="en-AU"/>
        </w:rPr>
        <w:t>(2010) is a rare example of a broad historical study of related disciplines of knowledge as found in universities.</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Curriculum</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Broad, cohesive, critical historical studies of school curricula from colonial to more modern times barely exist. There are studies for individual school subjects, and curriculum for limited periods of time, but curriculum remains a field barely scratched. It is an important issue for the history of ideas and sociology of knowledge in Australia, let alone the historical role of curriculum in educational development. Nevertheless two studies of significance are the collection of essays in </w:t>
      </w:r>
      <w:r w:rsidRPr="000654AD">
        <w:rPr>
          <w:rFonts w:ascii="Arial" w:eastAsia="Times New Roman" w:hAnsi="Arial" w:cs="Arial"/>
          <w:i/>
          <w:iCs/>
          <w:lang w:val="en-US" w:eastAsia="en-AU"/>
        </w:rPr>
        <w:t>Australia’s Curriculum Dilemmas</w:t>
      </w:r>
      <w:r w:rsidRPr="000654AD">
        <w:rPr>
          <w:rFonts w:ascii="Arial" w:eastAsia="Times New Roman" w:hAnsi="Arial" w:cs="Arial"/>
          <w:lang w:val="en-US" w:eastAsia="en-AU"/>
        </w:rPr>
        <w:t xml:space="preserve"> (2011) edited by Lyn Yates, </w:t>
      </w:r>
      <w:proofErr w:type="spellStart"/>
      <w:r w:rsidRPr="000654AD">
        <w:rPr>
          <w:rFonts w:ascii="Arial" w:eastAsia="Times New Roman" w:hAnsi="Arial" w:cs="Arial"/>
          <w:lang w:val="en-US" w:eastAsia="en-AU"/>
        </w:rPr>
        <w:t>Chery</w:t>
      </w:r>
      <w:proofErr w:type="spellEnd"/>
      <w:r w:rsidRPr="000654AD">
        <w:rPr>
          <w:rFonts w:ascii="Arial" w:eastAsia="Times New Roman" w:hAnsi="Arial" w:cs="Arial"/>
          <w:lang w:val="en-US" w:eastAsia="en-AU"/>
        </w:rPr>
        <w:t xml:space="preserve"> Collins and Kate O’Connor. Richard </w:t>
      </w:r>
      <w:proofErr w:type="spellStart"/>
      <w:r w:rsidRPr="000654AD">
        <w:rPr>
          <w:rFonts w:ascii="Arial" w:eastAsia="Times New Roman" w:hAnsi="Arial" w:cs="Arial"/>
          <w:lang w:val="en-US" w:eastAsia="en-AU"/>
        </w:rPr>
        <w:t>Teese</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Academic Success and Social Power</w:t>
      </w:r>
      <w:r w:rsidRPr="000654AD">
        <w:rPr>
          <w:rFonts w:ascii="Arial" w:eastAsia="Times New Roman" w:hAnsi="Arial" w:cs="Arial"/>
          <w:lang w:val="en-US" w:eastAsia="en-AU"/>
        </w:rPr>
        <w:t xml:space="preserve"> (2000/2013) includes short histories of the school subjects that he argues are assessed in such a way as to create social inequality. Histories of assessment and </w:t>
      </w:r>
      <w:proofErr w:type="spellStart"/>
      <w:r w:rsidRPr="000654AD">
        <w:rPr>
          <w:rFonts w:ascii="Arial" w:eastAsia="Times New Roman" w:hAnsi="Arial" w:cs="Arial"/>
          <w:lang w:val="en-US" w:eastAsia="en-AU"/>
        </w:rPr>
        <w:t>credentialism</w:t>
      </w:r>
      <w:proofErr w:type="spellEnd"/>
      <w:r w:rsidRPr="000654AD">
        <w:rPr>
          <w:rFonts w:ascii="Arial" w:eastAsia="Times New Roman" w:hAnsi="Arial" w:cs="Arial"/>
          <w:lang w:val="en-US" w:eastAsia="en-AU"/>
        </w:rPr>
        <w:t xml:space="preserve"> include </w:t>
      </w:r>
      <w:r w:rsidRPr="000654AD">
        <w:rPr>
          <w:rFonts w:ascii="Arial" w:eastAsia="Times New Roman" w:hAnsi="Arial" w:cs="Arial"/>
          <w:lang w:val="en-US" w:eastAsia="en-AU"/>
        </w:rPr>
        <w:lastRenderedPageBreak/>
        <w:t xml:space="preserve">the specialist studies by Peter Musgrave </w:t>
      </w:r>
      <w:r w:rsidRPr="000654AD">
        <w:rPr>
          <w:rFonts w:ascii="Arial" w:eastAsia="Times New Roman" w:hAnsi="Arial" w:cs="Arial"/>
          <w:i/>
          <w:iCs/>
          <w:lang w:val="en-US" w:eastAsia="en-AU"/>
        </w:rPr>
        <w:t>From Humanity to Utility: Melbourne University and Public Examinations 1856-1964</w:t>
      </w:r>
      <w:r w:rsidRPr="000654AD">
        <w:rPr>
          <w:rFonts w:ascii="Arial" w:eastAsia="Times New Roman" w:hAnsi="Arial" w:cs="Arial"/>
          <w:lang w:val="en-US" w:eastAsia="en-AU"/>
        </w:rPr>
        <w:t xml:space="preserve"> (1992) and Antonio </w:t>
      </w:r>
      <w:proofErr w:type="spellStart"/>
      <w:r w:rsidRPr="000654AD">
        <w:rPr>
          <w:rFonts w:ascii="Arial" w:eastAsia="Times New Roman" w:hAnsi="Arial" w:cs="Arial"/>
          <w:lang w:val="en-US" w:eastAsia="en-AU"/>
        </w:rPr>
        <w:t>Mercurio</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Questions as Answers</w:t>
      </w:r>
      <w:r w:rsidRPr="000654AD">
        <w:rPr>
          <w:rFonts w:ascii="Arial" w:eastAsia="Times New Roman" w:hAnsi="Arial" w:cs="Arial"/>
          <w:lang w:val="en-US" w:eastAsia="en-AU"/>
        </w:rPr>
        <w:t xml:space="preserve"> (2003).</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Pedagogy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How have teachers taught in Australia over time? There are no published monographs that address the history of teaching for substantial periods of time. Some innovative histories of reading and its curriculum, by Phillip Cormack and collaborators exist, mainly in journal article form.</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Pre-school and primary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Pre-school and primary, infant and elementary levels of education attracted a lot of scholarly attention for the nineteenth century and the early years of the twentieth, but then the studies dwindle. Comprehensive, coherent monographs are difficult to find. Exceptions in the early childhood area include Deborah Brennan’s </w:t>
      </w:r>
      <w:r w:rsidRPr="000654AD">
        <w:rPr>
          <w:rFonts w:ascii="Arial" w:eastAsia="Times New Roman" w:hAnsi="Arial" w:cs="Arial"/>
          <w:i/>
          <w:iCs/>
          <w:lang w:val="en-US" w:eastAsia="en-AU"/>
        </w:rPr>
        <w:t>The Politics of Australian Child Care: From philanthropy to feminism</w:t>
      </w:r>
      <w:r w:rsidRPr="000654AD">
        <w:rPr>
          <w:rFonts w:ascii="Arial" w:eastAsia="Times New Roman" w:hAnsi="Arial" w:cs="Arial"/>
          <w:lang w:val="en-US" w:eastAsia="en-AU"/>
        </w:rPr>
        <w:t xml:space="preserve"> (1994) and L. Gardiner’s, </w:t>
      </w:r>
      <w:r w:rsidRPr="000654AD">
        <w:rPr>
          <w:rFonts w:ascii="Arial" w:eastAsia="Times New Roman" w:hAnsi="Arial" w:cs="Arial"/>
          <w:i/>
          <w:iCs/>
          <w:lang w:val="en-US" w:eastAsia="en-AU"/>
        </w:rPr>
        <w:t>The Free Kindergarten Union of Victoria 1908-80</w:t>
      </w:r>
      <w:r w:rsidRPr="000654AD">
        <w:rPr>
          <w:rFonts w:ascii="Arial" w:eastAsia="Times New Roman" w:hAnsi="Arial" w:cs="Arial"/>
          <w:lang w:val="en-US" w:eastAsia="en-AU"/>
        </w:rPr>
        <w:t xml:space="preserve"> (1982). Larry </w:t>
      </w:r>
      <w:proofErr w:type="spellStart"/>
      <w:r w:rsidRPr="000654AD">
        <w:rPr>
          <w:rFonts w:ascii="Arial" w:eastAsia="Times New Roman" w:hAnsi="Arial" w:cs="Arial"/>
          <w:lang w:val="en-US" w:eastAsia="en-AU"/>
        </w:rPr>
        <w:t>Prochner</w:t>
      </w:r>
      <w:proofErr w:type="spellEnd"/>
      <w:r w:rsidRPr="000654AD">
        <w:rPr>
          <w:rFonts w:ascii="Arial" w:eastAsia="Times New Roman" w:hAnsi="Arial" w:cs="Arial"/>
          <w:lang w:val="en-US" w:eastAsia="en-AU"/>
        </w:rPr>
        <w:t xml:space="preserve"> has written an important comparative study: </w:t>
      </w:r>
      <w:r w:rsidRPr="000654AD">
        <w:rPr>
          <w:rFonts w:ascii="Arial" w:eastAsia="Times New Roman" w:hAnsi="Arial" w:cs="Arial"/>
          <w:i/>
          <w:iCs/>
          <w:lang w:val="en-US" w:eastAsia="en-AU"/>
        </w:rPr>
        <w:t>A History of Early Childhood Education in Canada, Australia, and New Zealand</w:t>
      </w:r>
      <w:r w:rsidRPr="000654AD">
        <w:rPr>
          <w:rFonts w:ascii="Arial" w:eastAsia="Times New Roman" w:hAnsi="Arial" w:cs="Arial"/>
          <w:lang w:val="en-US" w:eastAsia="en-AU"/>
        </w:rPr>
        <w:t xml:space="preserve"> (2009).</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Secondary schooling</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There are a wealth of studies addressing this area. They cover schools, school systems, and the social and cultural relations of schooling. Historians of this sector include Rupert Goodman on Queensland, Bob </w:t>
      </w:r>
      <w:proofErr w:type="spellStart"/>
      <w:r w:rsidRPr="000654AD">
        <w:rPr>
          <w:rFonts w:ascii="Arial" w:eastAsia="Times New Roman" w:hAnsi="Arial" w:cs="Arial"/>
          <w:lang w:val="en-US" w:eastAsia="en-AU"/>
        </w:rPr>
        <w:t>Bessant</w:t>
      </w:r>
      <w:proofErr w:type="spellEnd"/>
      <w:r w:rsidRPr="000654AD">
        <w:rPr>
          <w:rFonts w:ascii="Arial" w:eastAsia="Times New Roman" w:hAnsi="Arial" w:cs="Arial"/>
          <w:lang w:val="en-US" w:eastAsia="en-AU"/>
        </w:rPr>
        <w:t xml:space="preserve"> on Victoria, Craig Campbell on South Australia, Kaye Tully on Western Australia and Geoffrey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xml:space="preserve"> nationally. The monograph by Campbell, Carole Hooper and Mary </w:t>
      </w:r>
      <w:proofErr w:type="spellStart"/>
      <w:r w:rsidRPr="000654AD">
        <w:rPr>
          <w:rFonts w:ascii="Arial" w:eastAsia="Times New Roman" w:hAnsi="Arial" w:cs="Arial"/>
          <w:lang w:val="en-US" w:eastAsia="en-AU"/>
        </w:rPr>
        <w:t>Fearnley</w:t>
      </w:r>
      <w:proofErr w:type="spellEnd"/>
      <w:r w:rsidRPr="000654AD">
        <w:rPr>
          <w:rFonts w:ascii="Arial" w:eastAsia="Times New Roman" w:hAnsi="Arial" w:cs="Arial"/>
          <w:lang w:val="en-US" w:eastAsia="en-AU"/>
        </w:rPr>
        <w:t xml:space="preserve">-Sander (1999) addressed the historiography as well as providing state based studies within the social history and revisionist tradition. Campbell and </w:t>
      </w:r>
      <w:proofErr w:type="spellStart"/>
      <w:r w:rsidRPr="000654AD">
        <w:rPr>
          <w:rFonts w:ascii="Arial" w:eastAsia="Times New Roman" w:hAnsi="Arial" w:cs="Arial"/>
          <w:lang w:val="en-US" w:eastAsia="en-AU"/>
        </w:rPr>
        <w:t>Sherington’s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 xml:space="preserve">The comprehensive public high school </w:t>
      </w:r>
      <w:r w:rsidRPr="000654AD">
        <w:rPr>
          <w:rFonts w:ascii="Arial" w:eastAsia="Times New Roman" w:hAnsi="Arial" w:cs="Arial"/>
          <w:lang w:val="en-US" w:eastAsia="en-AU"/>
        </w:rPr>
        <w:t xml:space="preserve">(2013) provides a New South Wales study tracing the rise and decline of universal public secondary schooling. Josephine May and Helen Proctor have contributed oral history based studies of </w:t>
      </w:r>
      <w:proofErr w:type="spellStart"/>
      <w:r w:rsidRPr="000654AD">
        <w:rPr>
          <w:rFonts w:ascii="Arial" w:eastAsia="Times New Roman" w:hAnsi="Arial" w:cs="Arial"/>
          <w:lang w:val="en-US" w:eastAsia="en-AU"/>
        </w:rPr>
        <w:t>localised</w:t>
      </w:r>
      <w:proofErr w:type="spellEnd"/>
      <w:r w:rsidRPr="000654AD">
        <w:rPr>
          <w:rFonts w:ascii="Arial" w:eastAsia="Times New Roman" w:hAnsi="Arial" w:cs="Arial"/>
          <w:lang w:val="en-US" w:eastAsia="en-AU"/>
        </w:rPr>
        <w:t xml:space="preserve"> secondary school history. Richard </w:t>
      </w:r>
      <w:proofErr w:type="spellStart"/>
      <w:r w:rsidRPr="000654AD">
        <w:rPr>
          <w:rFonts w:ascii="Arial" w:eastAsia="Times New Roman" w:hAnsi="Arial" w:cs="Arial"/>
          <w:lang w:val="en-US" w:eastAsia="en-AU"/>
        </w:rPr>
        <w:t>Teese’s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For the Common Weal: The public high school in Victoria 1910-2010</w:t>
      </w:r>
      <w:r w:rsidRPr="000654AD">
        <w:rPr>
          <w:rFonts w:ascii="Arial" w:eastAsia="Times New Roman" w:hAnsi="Arial" w:cs="Arial"/>
          <w:lang w:val="en-US" w:eastAsia="en-AU"/>
        </w:rPr>
        <w:t xml:space="preserve"> (2014) continues that author’s distinctive </w:t>
      </w:r>
      <w:proofErr w:type="spellStart"/>
      <w:r w:rsidRPr="000654AD">
        <w:rPr>
          <w:rFonts w:ascii="Arial" w:eastAsia="Times New Roman" w:hAnsi="Arial" w:cs="Arial"/>
          <w:lang w:val="en-US" w:eastAsia="en-AU"/>
        </w:rPr>
        <w:t>historiographical</w:t>
      </w:r>
      <w:proofErr w:type="spellEnd"/>
      <w:r w:rsidRPr="000654AD">
        <w:rPr>
          <w:rFonts w:ascii="Arial" w:eastAsia="Times New Roman" w:hAnsi="Arial" w:cs="Arial"/>
          <w:lang w:val="en-US" w:eastAsia="en-AU"/>
        </w:rPr>
        <w:t xml:space="preserve"> contribution based in historical sociology and a concern for the theme of equitable access to good schooling.</w:t>
      </w: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t>Teachers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Many of the more long-lasting teacher unions have had commissioned histories written. Andrew </w:t>
      </w:r>
      <w:proofErr w:type="spellStart"/>
      <w:r w:rsidRPr="000654AD">
        <w:rPr>
          <w:rFonts w:ascii="Arial" w:eastAsia="Times New Roman" w:hAnsi="Arial" w:cs="Arial"/>
          <w:lang w:val="en-US" w:eastAsia="en-AU"/>
        </w:rPr>
        <w:t>Spaull</w:t>
      </w:r>
      <w:proofErr w:type="spellEnd"/>
      <w:r w:rsidRPr="000654AD">
        <w:rPr>
          <w:rFonts w:ascii="Arial" w:eastAsia="Times New Roman" w:hAnsi="Arial" w:cs="Arial"/>
          <w:lang w:val="en-US" w:eastAsia="en-AU"/>
        </w:rPr>
        <w:t xml:space="preserve"> as a </w:t>
      </w:r>
      <w:proofErr w:type="spellStart"/>
      <w:r w:rsidRPr="000654AD">
        <w:rPr>
          <w:rFonts w:ascii="Arial" w:eastAsia="Times New Roman" w:hAnsi="Arial" w:cs="Arial"/>
          <w:lang w:val="en-US" w:eastAsia="en-AU"/>
        </w:rPr>
        <w:t>labour</w:t>
      </w:r>
      <w:proofErr w:type="spellEnd"/>
      <w:r w:rsidRPr="000654AD">
        <w:rPr>
          <w:rFonts w:ascii="Arial" w:eastAsia="Times New Roman" w:hAnsi="Arial" w:cs="Arial"/>
          <w:lang w:val="en-US" w:eastAsia="en-AU"/>
        </w:rPr>
        <w:t xml:space="preserve"> and education historian has provided important studies here. Historians Martin Sullivan and Bruce Mitchell have also published teacher union histories of interest. For teachers more generally we have studies on women through to the early twentieth century, including Kay Whitehead’s </w:t>
      </w:r>
      <w:r w:rsidRPr="000654AD">
        <w:rPr>
          <w:rFonts w:ascii="Arial" w:eastAsia="Times New Roman" w:hAnsi="Arial" w:cs="Arial"/>
          <w:i/>
          <w:iCs/>
          <w:lang w:val="en-US" w:eastAsia="en-AU"/>
        </w:rPr>
        <w:t>The New Women Come Along: Transforming teaching in the nineteenth century</w:t>
      </w:r>
      <w:r w:rsidRPr="000654AD">
        <w:rPr>
          <w:rFonts w:ascii="Arial" w:eastAsia="Times New Roman" w:hAnsi="Arial" w:cs="Arial"/>
          <w:lang w:val="en-US" w:eastAsia="en-AU"/>
        </w:rPr>
        <w:t xml:space="preserve"> and Marjorie </w:t>
      </w:r>
      <w:proofErr w:type="spellStart"/>
      <w:r w:rsidRPr="000654AD">
        <w:rPr>
          <w:rFonts w:ascii="Arial" w:eastAsia="Times New Roman" w:hAnsi="Arial" w:cs="Arial"/>
          <w:lang w:val="en-US" w:eastAsia="en-AU"/>
        </w:rPr>
        <w:t>Theobald’s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Knowing Women</w:t>
      </w:r>
      <w:r w:rsidRPr="000654AD">
        <w:rPr>
          <w:rFonts w:ascii="Arial" w:eastAsia="Times New Roman" w:hAnsi="Arial" w:cs="Arial"/>
          <w:lang w:val="en-US" w:eastAsia="en-AU"/>
        </w:rPr>
        <w:t xml:space="preserve"> (1996) but for men specifically, almost none, and general histories, virtually none. </w:t>
      </w:r>
      <w:proofErr w:type="spellStart"/>
      <w:r w:rsidRPr="000654AD">
        <w:rPr>
          <w:rFonts w:ascii="Arial" w:eastAsia="Times New Roman" w:hAnsi="Arial" w:cs="Arial"/>
          <w:lang w:val="en-US" w:eastAsia="en-AU"/>
        </w:rPr>
        <w:t>B.K.</w:t>
      </w:r>
      <w:proofErr w:type="spellEnd"/>
      <w:r w:rsidRPr="000654AD">
        <w:rPr>
          <w:rFonts w:ascii="Arial" w:eastAsia="Times New Roman" w:hAnsi="Arial" w:cs="Arial"/>
          <w:lang w:val="en-US" w:eastAsia="en-AU"/>
        </w:rPr>
        <w:t xml:space="preserve"> </w:t>
      </w:r>
      <w:proofErr w:type="spellStart"/>
      <w:r w:rsidRPr="000654AD">
        <w:rPr>
          <w:rFonts w:ascii="Arial" w:eastAsia="Times New Roman" w:hAnsi="Arial" w:cs="Arial"/>
          <w:lang w:val="en-US" w:eastAsia="en-AU"/>
        </w:rPr>
        <w:t>Hyams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Teacher Preparation in Australia: A history of Its development from 1850 to 1950</w:t>
      </w:r>
      <w:r w:rsidRPr="000654AD">
        <w:rPr>
          <w:rFonts w:ascii="Arial" w:eastAsia="Times New Roman" w:hAnsi="Arial" w:cs="Arial"/>
          <w:lang w:val="en-US" w:eastAsia="en-AU"/>
        </w:rPr>
        <w:t xml:space="preserve"> (1979) is the only ambitious monograph in the historiography that addresses the long-term history of teacher education. Kay Whitehead has added a further dimension to the historiography; much of her study of teachers and educational leaders occurs in the context of the making of transnational careers. Her work on Lillian de </w:t>
      </w:r>
      <w:proofErr w:type="spellStart"/>
      <w:r w:rsidRPr="000654AD">
        <w:rPr>
          <w:rFonts w:ascii="Arial" w:eastAsia="Times New Roman" w:hAnsi="Arial" w:cs="Arial"/>
          <w:lang w:val="en-US" w:eastAsia="en-AU"/>
        </w:rPr>
        <w:t>Lissa</w:t>
      </w:r>
      <w:proofErr w:type="spellEnd"/>
      <w:r w:rsidRPr="000654AD">
        <w:rPr>
          <w:rFonts w:ascii="Arial" w:eastAsia="Times New Roman" w:hAnsi="Arial" w:cs="Arial"/>
          <w:lang w:val="en-US" w:eastAsia="en-AU"/>
        </w:rPr>
        <w:t xml:space="preserve"> is an example of this.</w:t>
      </w:r>
    </w:p>
    <w:p w:rsidR="000654AD" w:rsidRDefault="000654AD" w:rsidP="000654AD">
      <w:pPr>
        <w:spacing w:after="92"/>
        <w:textAlignment w:val="top"/>
        <w:outlineLvl w:val="3"/>
        <w:rPr>
          <w:rFonts w:ascii="Lato" w:eastAsia="Times New Roman" w:hAnsi="Lato" w:cs="Arial"/>
          <w:b/>
          <w:bCs/>
          <w:sz w:val="30"/>
          <w:szCs w:val="30"/>
          <w:lang w:val="en-US" w:eastAsia="en-AU"/>
        </w:rPr>
      </w:pPr>
    </w:p>
    <w:p w:rsidR="000654AD" w:rsidRPr="000654AD" w:rsidRDefault="000654AD" w:rsidP="000654AD">
      <w:pPr>
        <w:spacing w:after="92"/>
        <w:textAlignment w:val="top"/>
        <w:outlineLvl w:val="3"/>
        <w:rPr>
          <w:rFonts w:ascii="Lato" w:eastAsia="Times New Roman" w:hAnsi="Lato" w:cs="Arial"/>
          <w:b/>
          <w:bCs/>
          <w:sz w:val="30"/>
          <w:szCs w:val="30"/>
          <w:lang w:val="en-US" w:eastAsia="en-AU"/>
        </w:rPr>
      </w:pPr>
      <w:r w:rsidRPr="000654AD">
        <w:rPr>
          <w:rFonts w:ascii="Lato" w:eastAsia="Times New Roman" w:hAnsi="Lato" w:cs="Arial"/>
          <w:b/>
          <w:bCs/>
          <w:sz w:val="30"/>
          <w:szCs w:val="30"/>
          <w:lang w:val="en-US" w:eastAsia="en-AU"/>
        </w:rPr>
        <w:lastRenderedPageBreak/>
        <w:t>Communities, parents and schools</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lang w:val="en-US" w:eastAsia="en-AU"/>
        </w:rPr>
        <w:t xml:space="preserve">According to the standard historiography the </w:t>
      </w:r>
      <w:proofErr w:type="spellStart"/>
      <w:r w:rsidRPr="000654AD">
        <w:rPr>
          <w:rFonts w:ascii="Arial" w:eastAsia="Times New Roman" w:hAnsi="Arial" w:cs="Arial"/>
          <w:lang w:val="en-US" w:eastAsia="en-AU"/>
        </w:rPr>
        <w:t>1870s</w:t>
      </w:r>
      <w:proofErr w:type="spellEnd"/>
      <w:r w:rsidRPr="000654AD">
        <w:rPr>
          <w:rFonts w:ascii="Arial" w:eastAsia="Times New Roman" w:hAnsi="Arial" w:cs="Arial"/>
          <w:lang w:val="en-US" w:eastAsia="en-AU"/>
        </w:rPr>
        <w:t xml:space="preserve"> Education Acts radically reduced the power of communities and parents over the schooling of their children. There has been a little attention given this topic, especially for the nineteenth century by Malcolm Vick, but as a topic of historical investigation, the studies are sparse. As Australia’s public education systems reorient towards more powerful parent involvement, administrative devolution, community engagement, occurring as the same time as the rapid growth of non-government schools, these developments need historical </w:t>
      </w:r>
      <w:proofErr w:type="spellStart"/>
      <w:r w:rsidRPr="000654AD">
        <w:rPr>
          <w:rFonts w:ascii="Arial" w:eastAsia="Times New Roman" w:hAnsi="Arial" w:cs="Arial"/>
          <w:lang w:val="en-US" w:eastAsia="en-AU"/>
        </w:rPr>
        <w:t>contextualisation</w:t>
      </w:r>
      <w:proofErr w:type="spellEnd"/>
      <w:r w:rsidRPr="000654AD">
        <w:rPr>
          <w:rFonts w:ascii="Arial" w:eastAsia="Times New Roman" w:hAnsi="Arial" w:cs="Arial"/>
          <w:lang w:val="en-US" w:eastAsia="en-AU"/>
        </w:rPr>
        <w:t xml:space="preserve">. Part of the effort requires histories of different ethno-cultural groups and schooling. </w:t>
      </w:r>
      <w:proofErr w:type="spellStart"/>
      <w:r w:rsidRPr="000654AD">
        <w:rPr>
          <w:rFonts w:ascii="Arial" w:eastAsia="Times New Roman" w:hAnsi="Arial" w:cs="Arial"/>
          <w:lang w:val="en-US" w:eastAsia="en-AU"/>
        </w:rPr>
        <w:t>Cleverley’s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Half a Million Children</w:t>
      </w:r>
      <w:r w:rsidRPr="000654AD">
        <w:rPr>
          <w:rFonts w:ascii="Arial" w:eastAsia="Times New Roman" w:hAnsi="Arial" w:cs="Arial"/>
          <w:lang w:val="en-US" w:eastAsia="en-AU"/>
        </w:rPr>
        <w:t xml:space="preserve"> (1978) provided pioneering studies of the diverse histories involved. Michael Gilding’s </w:t>
      </w:r>
      <w:r w:rsidRPr="000654AD">
        <w:rPr>
          <w:rFonts w:ascii="Arial" w:eastAsia="Times New Roman" w:hAnsi="Arial" w:cs="Arial"/>
          <w:i/>
          <w:iCs/>
          <w:lang w:val="en-US" w:eastAsia="en-AU"/>
        </w:rPr>
        <w:t xml:space="preserve">The Making and Breaking of the Australian Family </w:t>
      </w:r>
      <w:r w:rsidRPr="000654AD">
        <w:rPr>
          <w:rFonts w:ascii="Arial" w:eastAsia="Times New Roman" w:hAnsi="Arial" w:cs="Arial"/>
          <w:lang w:val="en-US" w:eastAsia="en-AU"/>
        </w:rPr>
        <w:t xml:space="preserve">is foundational on parents and families. Campbell, </w:t>
      </w:r>
      <w:proofErr w:type="spellStart"/>
      <w:r w:rsidRPr="000654AD">
        <w:rPr>
          <w:rFonts w:ascii="Arial" w:eastAsia="Times New Roman" w:hAnsi="Arial" w:cs="Arial"/>
          <w:lang w:val="en-US" w:eastAsia="en-AU"/>
        </w:rPr>
        <w:t>Sherington</w:t>
      </w:r>
      <w:proofErr w:type="spellEnd"/>
      <w:r w:rsidRPr="000654AD">
        <w:rPr>
          <w:rFonts w:ascii="Arial" w:eastAsia="Times New Roman" w:hAnsi="Arial" w:cs="Arial"/>
          <w:lang w:val="en-US" w:eastAsia="en-AU"/>
        </w:rPr>
        <w:t xml:space="preserve"> and Proctor’s </w:t>
      </w:r>
      <w:r w:rsidRPr="000654AD">
        <w:rPr>
          <w:rFonts w:ascii="Arial" w:eastAsia="Times New Roman" w:hAnsi="Arial" w:cs="Arial"/>
          <w:i/>
          <w:iCs/>
          <w:lang w:val="en-US" w:eastAsia="en-AU"/>
        </w:rPr>
        <w:t>School Choice</w:t>
      </w:r>
      <w:r w:rsidRPr="000654AD">
        <w:rPr>
          <w:rFonts w:ascii="Arial" w:eastAsia="Times New Roman" w:hAnsi="Arial" w:cs="Arial"/>
          <w:lang w:val="en-US" w:eastAsia="en-AU"/>
        </w:rPr>
        <w:t xml:space="preserve"> (2009) provides a history of parents in a variety of school markets from colonial times. For the nineteenth century </w:t>
      </w:r>
      <w:proofErr w:type="spellStart"/>
      <w:r w:rsidRPr="000654AD">
        <w:rPr>
          <w:rFonts w:ascii="Arial" w:eastAsia="Times New Roman" w:hAnsi="Arial" w:cs="Arial"/>
          <w:lang w:val="en-US" w:eastAsia="en-AU"/>
        </w:rPr>
        <w:t>Theobald</w:t>
      </w:r>
      <w:proofErr w:type="spellEnd"/>
      <w:r w:rsidRPr="000654AD">
        <w:rPr>
          <w:rFonts w:ascii="Arial" w:eastAsia="Times New Roman" w:hAnsi="Arial" w:cs="Arial"/>
          <w:lang w:val="en-US" w:eastAsia="en-AU"/>
        </w:rPr>
        <w:t xml:space="preserve"> and </w:t>
      </w:r>
      <w:proofErr w:type="spellStart"/>
      <w:r w:rsidRPr="000654AD">
        <w:rPr>
          <w:rFonts w:ascii="Arial" w:eastAsia="Times New Roman" w:hAnsi="Arial" w:cs="Arial"/>
          <w:lang w:val="en-US" w:eastAsia="en-AU"/>
        </w:rPr>
        <w:t>Selleck’s</w:t>
      </w:r>
      <w:proofErr w:type="spellEnd"/>
      <w:r w:rsidRPr="000654AD">
        <w:rPr>
          <w:rFonts w:ascii="Arial" w:eastAsia="Times New Roman" w:hAnsi="Arial" w:cs="Arial"/>
          <w:lang w:val="en-US" w:eastAsia="en-AU"/>
        </w:rPr>
        <w:t xml:space="preserve"> </w:t>
      </w:r>
      <w:r w:rsidRPr="000654AD">
        <w:rPr>
          <w:rFonts w:ascii="Arial" w:eastAsia="Times New Roman" w:hAnsi="Arial" w:cs="Arial"/>
          <w:i/>
          <w:iCs/>
          <w:lang w:val="en-US" w:eastAsia="en-AU"/>
        </w:rPr>
        <w:t>Family, School and State in Australian History</w:t>
      </w:r>
      <w:r w:rsidRPr="000654AD">
        <w:rPr>
          <w:rFonts w:ascii="Arial" w:eastAsia="Times New Roman" w:hAnsi="Arial" w:cs="Arial"/>
          <w:lang w:val="en-US" w:eastAsia="en-AU"/>
        </w:rPr>
        <w:t xml:space="preserve"> (1990) provides foundational essays for the issues involved for communities, parents and schools.</w:t>
      </w:r>
    </w:p>
    <w:p w:rsidR="000654AD" w:rsidRPr="000654AD" w:rsidRDefault="000654AD" w:rsidP="000654AD">
      <w:pPr>
        <w:spacing w:after="92"/>
        <w:textAlignment w:val="top"/>
        <w:outlineLvl w:val="2"/>
        <w:rPr>
          <w:rFonts w:ascii="Lato" w:eastAsia="Times New Roman" w:hAnsi="Lato" w:cs="Arial"/>
          <w:b/>
          <w:bCs/>
          <w:sz w:val="32"/>
          <w:szCs w:val="32"/>
          <w:lang w:val="en-US" w:eastAsia="en-AU"/>
        </w:rPr>
      </w:pPr>
      <w:r w:rsidRPr="000654AD">
        <w:rPr>
          <w:rFonts w:ascii="Lato" w:eastAsia="Times New Roman" w:hAnsi="Lato" w:cs="Arial"/>
          <w:b/>
          <w:bCs/>
          <w:sz w:val="32"/>
          <w:szCs w:val="32"/>
          <w:lang w:val="en-US" w:eastAsia="en-AU"/>
        </w:rPr>
        <w:t>Glossary</w:t>
      </w:r>
    </w:p>
    <w:p w:rsidR="000654AD" w:rsidRPr="000654AD" w:rsidRDefault="000654AD" w:rsidP="000654AD">
      <w:pPr>
        <w:spacing w:after="369"/>
        <w:textAlignment w:val="top"/>
        <w:rPr>
          <w:rFonts w:ascii="Arial" w:eastAsia="Times New Roman" w:hAnsi="Arial" w:cs="Arial"/>
          <w:lang w:val="en-US" w:eastAsia="en-AU"/>
        </w:rPr>
      </w:pPr>
      <w:r w:rsidRPr="000654AD">
        <w:rPr>
          <w:rFonts w:ascii="Arial" w:eastAsia="Times New Roman" w:hAnsi="Arial" w:cs="Arial"/>
          <w:i/>
          <w:iCs/>
          <w:lang w:val="en-US" w:eastAsia="en-AU"/>
        </w:rPr>
        <w:t>Hagiography</w:t>
      </w:r>
      <w:r w:rsidRPr="000654AD">
        <w:rPr>
          <w:rFonts w:ascii="Arial" w:eastAsia="Times New Roman" w:hAnsi="Arial" w:cs="Arial"/>
          <w:lang w:val="en-US" w:eastAsia="en-AU"/>
        </w:rPr>
        <w:t xml:space="preserve"> is literally the writing of the lives of saints, usually in the Catholic tradition. It has acquired a secondary and negative meaning. Hagiography is often used to describe any biographical study that uncritically </w:t>
      </w:r>
      <w:proofErr w:type="spellStart"/>
      <w:r w:rsidRPr="000654AD">
        <w:rPr>
          <w:rFonts w:ascii="Arial" w:eastAsia="Times New Roman" w:hAnsi="Arial" w:cs="Arial"/>
          <w:lang w:val="en-US" w:eastAsia="en-AU"/>
        </w:rPr>
        <w:t>idealises</w:t>
      </w:r>
      <w:proofErr w:type="spellEnd"/>
      <w:r w:rsidRPr="000654AD">
        <w:rPr>
          <w:rFonts w:ascii="Arial" w:eastAsia="Times New Roman" w:hAnsi="Arial" w:cs="Arial"/>
          <w:lang w:val="en-US" w:eastAsia="en-AU"/>
        </w:rPr>
        <w:t xml:space="preserve"> the life of its subject.</w:t>
      </w:r>
    </w:p>
    <w:p w:rsidR="000654AD" w:rsidRPr="000654AD" w:rsidRDefault="000654AD" w:rsidP="000654AD">
      <w:pPr>
        <w:spacing w:after="92"/>
        <w:textAlignment w:val="top"/>
        <w:outlineLvl w:val="1"/>
        <w:rPr>
          <w:rFonts w:ascii="Lato" w:eastAsia="Times New Roman" w:hAnsi="Lato" w:cs="Arial"/>
          <w:b/>
          <w:bCs/>
          <w:sz w:val="42"/>
          <w:szCs w:val="42"/>
          <w:lang w:val="en-US" w:eastAsia="en-AU"/>
        </w:rPr>
      </w:pPr>
      <w:r w:rsidRPr="000654AD">
        <w:rPr>
          <w:rFonts w:ascii="Lato" w:eastAsia="Times New Roman" w:hAnsi="Lato" w:cs="Arial"/>
          <w:b/>
          <w:bCs/>
          <w:sz w:val="42"/>
          <w:szCs w:val="42"/>
          <w:lang w:val="en-US" w:eastAsia="en-AU"/>
        </w:rPr>
        <w:t>Bibliography and References</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proofErr w:type="spellStart"/>
      <w:r w:rsidRPr="000654AD">
        <w:rPr>
          <w:rFonts w:ascii="Arial" w:eastAsia="Times New Roman" w:hAnsi="Arial" w:cs="Arial"/>
          <w:sz w:val="20"/>
          <w:szCs w:val="20"/>
          <w:lang w:val="en-US" w:eastAsia="en-AU"/>
        </w:rPr>
        <w:t>Bessant</w:t>
      </w:r>
      <w:proofErr w:type="spellEnd"/>
      <w:r w:rsidRPr="000654AD">
        <w:rPr>
          <w:rFonts w:ascii="Arial" w:eastAsia="Times New Roman" w:hAnsi="Arial" w:cs="Arial"/>
          <w:sz w:val="20"/>
          <w:szCs w:val="20"/>
          <w:lang w:val="en-US" w:eastAsia="en-AU"/>
        </w:rPr>
        <w:t xml:space="preserve">, B. 1991. ‘Progress’ and revision in the history of education in the </w:t>
      </w:r>
      <w:proofErr w:type="spellStart"/>
      <w:r w:rsidRPr="000654AD">
        <w:rPr>
          <w:rFonts w:ascii="Arial" w:eastAsia="Times New Roman" w:hAnsi="Arial" w:cs="Arial"/>
          <w:sz w:val="20"/>
          <w:szCs w:val="20"/>
          <w:lang w:val="en-US" w:eastAsia="en-AU"/>
        </w:rPr>
        <w:t>1980s</w:t>
      </w:r>
      <w:proofErr w:type="spellEnd"/>
      <w:r w:rsidRPr="000654AD">
        <w:rPr>
          <w:rFonts w:ascii="Arial" w:eastAsia="Times New Roman" w:hAnsi="Arial" w:cs="Arial"/>
          <w:sz w:val="20"/>
          <w:szCs w:val="20"/>
          <w:lang w:val="en-US" w:eastAsia="en-AU"/>
        </w:rPr>
        <w:t xml:space="preserve">. </w:t>
      </w:r>
      <w:r w:rsidRPr="000654AD">
        <w:rPr>
          <w:rFonts w:ascii="Arial" w:eastAsia="Times New Roman" w:hAnsi="Arial" w:cs="Arial"/>
          <w:i/>
          <w:iCs/>
          <w:sz w:val="20"/>
          <w:szCs w:val="20"/>
          <w:lang w:val="en-US" w:eastAsia="en-AU"/>
        </w:rPr>
        <w:t>Discourse,</w:t>
      </w:r>
      <w:r w:rsidRPr="000654AD">
        <w:rPr>
          <w:rFonts w:ascii="Arial" w:eastAsia="Times New Roman" w:hAnsi="Arial" w:cs="Arial"/>
          <w:sz w:val="20"/>
          <w:szCs w:val="20"/>
          <w:lang w:val="en-US" w:eastAsia="en-AU"/>
        </w:rPr>
        <w:t xml:space="preserve"> 12</w:t>
      </w:r>
      <w:r w:rsidRPr="000654AD">
        <w:rPr>
          <w:rFonts w:ascii="Arial" w:eastAsia="Times New Roman" w:hAnsi="Arial" w:cs="Arial"/>
          <w:b/>
          <w:bCs/>
          <w:sz w:val="20"/>
          <w:szCs w:val="20"/>
          <w:lang w:val="en-US" w:eastAsia="en-AU"/>
        </w:rPr>
        <w:t>,</w:t>
      </w:r>
      <w:r w:rsidRPr="000654AD">
        <w:rPr>
          <w:rFonts w:ascii="Arial" w:eastAsia="Times New Roman" w:hAnsi="Arial" w:cs="Arial"/>
          <w:sz w:val="20"/>
          <w:szCs w:val="20"/>
          <w:lang w:val="en-US" w:eastAsia="en-AU"/>
        </w:rPr>
        <w:t xml:space="preserve"> 67-84.</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Blackmore, J. 1992. </w:t>
      </w:r>
      <w:r w:rsidRPr="000654AD">
        <w:rPr>
          <w:rFonts w:ascii="Arial" w:eastAsia="Times New Roman" w:hAnsi="Arial" w:cs="Arial"/>
          <w:i/>
          <w:iCs/>
          <w:sz w:val="20"/>
          <w:szCs w:val="20"/>
          <w:lang w:val="en-US" w:eastAsia="en-AU"/>
        </w:rPr>
        <w:t xml:space="preserve">Making educational history: A feminist perspective, </w:t>
      </w:r>
      <w:r w:rsidRPr="000654AD">
        <w:rPr>
          <w:rFonts w:ascii="Arial" w:eastAsia="Times New Roman" w:hAnsi="Arial" w:cs="Arial"/>
          <w:sz w:val="20"/>
          <w:szCs w:val="20"/>
          <w:lang w:val="en-US" w:eastAsia="en-AU"/>
        </w:rPr>
        <w:t xml:space="preserve">Geelong, </w:t>
      </w:r>
      <w:proofErr w:type="spellStart"/>
      <w:r w:rsidRPr="000654AD">
        <w:rPr>
          <w:rFonts w:ascii="Arial" w:eastAsia="Times New Roman" w:hAnsi="Arial" w:cs="Arial"/>
          <w:sz w:val="20"/>
          <w:szCs w:val="20"/>
          <w:lang w:val="en-US" w:eastAsia="en-AU"/>
        </w:rPr>
        <w:t>Deakin</w:t>
      </w:r>
      <w:proofErr w:type="spellEnd"/>
      <w:r w:rsidRPr="000654AD">
        <w:rPr>
          <w:rFonts w:ascii="Arial" w:eastAsia="Times New Roman" w:hAnsi="Arial" w:cs="Arial"/>
          <w:sz w:val="20"/>
          <w:szCs w:val="20"/>
          <w:lang w:val="en-US" w:eastAsia="en-AU"/>
        </w:rPr>
        <w:t xml:space="preserve"> University.</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Campbell, C. 1999. The social origins of Australian state high schools: An </w:t>
      </w:r>
      <w:proofErr w:type="spellStart"/>
      <w:r w:rsidRPr="000654AD">
        <w:rPr>
          <w:rFonts w:ascii="Arial" w:eastAsia="Times New Roman" w:hAnsi="Arial" w:cs="Arial"/>
          <w:sz w:val="20"/>
          <w:szCs w:val="20"/>
          <w:lang w:val="en-US" w:eastAsia="en-AU"/>
        </w:rPr>
        <w:t>historiographical</w:t>
      </w:r>
      <w:proofErr w:type="spellEnd"/>
      <w:r w:rsidRPr="000654AD">
        <w:rPr>
          <w:rFonts w:ascii="Arial" w:eastAsia="Times New Roman" w:hAnsi="Arial" w:cs="Arial"/>
          <w:sz w:val="20"/>
          <w:szCs w:val="20"/>
          <w:lang w:val="en-US" w:eastAsia="en-AU"/>
        </w:rPr>
        <w:t xml:space="preserve"> review. In </w:t>
      </w:r>
      <w:r w:rsidRPr="000654AD">
        <w:rPr>
          <w:rFonts w:ascii="Arial" w:eastAsia="Times New Roman" w:hAnsi="Arial" w:cs="Arial"/>
          <w:i/>
          <w:iCs/>
          <w:sz w:val="20"/>
          <w:szCs w:val="20"/>
          <w:lang w:val="en-US" w:eastAsia="en-AU"/>
        </w:rPr>
        <w:t>Toward the State High School in Australia: Social histories of state secondary schooling in Victoria, Tasmania and South Australia, 1850-1925</w:t>
      </w:r>
      <w:r w:rsidRPr="000654AD">
        <w:rPr>
          <w:rFonts w:ascii="Arial" w:eastAsia="Times New Roman" w:hAnsi="Arial" w:cs="Arial"/>
          <w:sz w:val="20"/>
          <w:szCs w:val="20"/>
          <w:lang w:val="en-US" w:eastAsia="en-AU"/>
        </w:rPr>
        <w:t xml:space="preserve">, </w:t>
      </w:r>
      <w:proofErr w:type="spellStart"/>
      <w:r w:rsidRPr="000654AD">
        <w:rPr>
          <w:rFonts w:ascii="Arial" w:eastAsia="Times New Roman" w:hAnsi="Arial" w:cs="Arial"/>
          <w:sz w:val="20"/>
          <w:szCs w:val="20"/>
          <w:lang w:val="en-US" w:eastAsia="en-AU"/>
        </w:rPr>
        <w:t>eds</w:t>
      </w:r>
      <w:proofErr w:type="spellEnd"/>
      <w:r w:rsidRPr="000654AD">
        <w:rPr>
          <w:rFonts w:ascii="Arial" w:eastAsia="Times New Roman" w:hAnsi="Arial" w:cs="Arial"/>
          <w:sz w:val="20"/>
          <w:szCs w:val="20"/>
          <w:lang w:val="en-US" w:eastAsia="en-AU"/>
        </w:rPr>
        <w:t xml:space="preserve"> C. Campbell, C. Hooper and M. </w:t>
      </w:r>
      <w:proofErr w:type="spellStart"/>
      <w:r w:rsidRPr="000654AD">
        <w:rPr>
          <w:rFonts w:ascii="Arial" w:eastAsia="Times New Roman" w:hAnsi="Arial" w:cs="Arial"/>
          <w:sz w:val="20"/>
          <w:szCs w:val="20"/>
          <w:lang w:val="en-US" w:eastAsia="en-AU"/>
        </w:rPr>
        <w:t>Fearnley</w:t>
      </w:r>
      <w:proofErr w:type="spellEnd"/>
      <w:r w:rsidRPr="000654AD">
        <w:rPr>
          <w:rFonts w:ascii="Arial" w:eastAsia="Times New Roman" w:hAnsi="Arial" w:cs="Arial"/>
          <w:sz w:val="20"/>
          <w:szCs w:val="20"/>
          <w:lang w:val="en-US" w:eastAsia="en-AU"/>
        </w:rPr>
        <w:t xml:space="preserve">-Sander, 9-27. Sydney: </w:t>
      </w:r>
      <w:proofErr w:type="spellStart"/>
      <w:r w:rsidRPr="000654AD">
        <w:rPr>
          <w:rFonts w:ascii="Arial" w:eastAsia="Times New Roman" w:hAnsi="Arial" w:cs="Arial"/>
          <w:sz w:val="20"/>
          <w:szCs w:val="20"/>
          <w:lang w:val="en-US" w:eastAsia="en-AU"/>
        </w:rPr>
        <w:t>ANZHES</w:t>
      </w:r>
      <w:proofErr w:type="spellEnd"/>
      <w:r w:rsidRPr="000654AD">
        <w:rPr>
          <w:rFonts w:ascii="Arial" w:eastAsia="Times New Roman" w:hAnsi="Arial" w:cs="Arial"/>
          <w:sz w:val="20"/>
          <w:szCs w:val="20"/>
          <w:lang w:val="en-US" w:eastAsia="en-AU"/>
        </w:rPr>
        <w:t>, 1999.</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Campbell, C. &amp; </w:t>
      </w:r>
      <w:proofErr w:type="spellStart"/>
      <w:r w:rsidRPr="000654AD">
        <w:rPr>
          <w:rFonts w:ascii="Arial" w:eastAsia="Times New Roman" w:hAnsi="Arial" w:cs="Arial"/>
          <w:sz w:val="20"/>
          <w:szCs w:val="20"/>
          <w:lang w:val="en-US" w:eastAsia="en-AU"/>
        </w:rPr>
        <w:t>Sherington</w:t>
      </w:r>
      <w:proofErr w:type="spellEnd"/>
      <w:r w:rsidRPr="000654AD">
        <w:rPr>
          <w:rFonts w:ascii="Arial" w:eastAsia="Times New Roman" w:hAnsi="Arial" w:cs="Arial"/>
          <w:sz w:val="20"/>
          <w:szCs w:val="20"/>
          <w:lang w:val="en-US" w:eastAsia="en-AU"/>
        </w:rPr>
        <w:t xml:space="preserve">, G. 2002. History of education: The possibility of survival. </w:t>
      </w:r>
      <w:r w:rsidRPr="000654AD">
        <w:rPr>
          <w:rFonts w:ascii="Arial" w:eastAsia="Times New Roman" w:hAnsi="Arial" w:cs="Arial"/>
          <w:i/>
          <w:iCs/>
          <w:sz w:val="20"/>
          <w:szCs w:val="20"/>
          <w:lang w:val="en-US" w:eastAsia="en-AU"/>
        </w:rPr>
        <w:t>Change: Transformations in Education,</w:t>
      </w:r>
      <w:r w:rsidRPr="000654AD">
        <w:rPr>
          <w:rFonts w:ascii="Arial" w:eastAsia="Times New Roman" w:hAnsi="Arial" w:cs="Arial"/>
          <w:sz w:val="20"/>
          <w:szCs w:val="20"/>
          <w:lang w:val="en-US" w:eastAsia="en-AU"/>
        </w:rPr>
        <w:t xml:space="preserve"> 5</w:t>
      </w:r>
      <w:r w:rsidRPr="000654AD">
        <w:rPr>
          <w:rFonts w:ascii="Arial" w:eastAsia="Times New Roman" w:hAnsi="Arial" w:cs="Arial"/>
          <w:b/>
          <w:bCs/>
          <w:sz w:val="20"/>
          <w:szCs w:val="20"/>
          <w:lang w:val="en-US" w:eastAsia="en-AU"/>
        </w:rPr>
        <w:t>,</w:t>
      </w:r>
      <w:r w:rsidRPr="000654AD">
        <w:rPr>
          <w:rFonts w:ascii="Arial" w:eastAsia="Times New Roman" w:hAnsi="Arial" w:cs="Arial"/>
          <w:sz w:val="20"/>
          <w:szCs w:val="20"/>
          <w:lang w:val="en-US" w:eastAsia="en-AU"/>
        </w:rPr>
        <w:t xml:space="preserve"> 46-64.</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Campbell, C. &amp; Stephenson, M. 2015 (forthcoming). Australia and New Zealand.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w:t>
      </w:r>
      <w:proofErr w:type="spellStart"/>
      <w:r w:rsidRPr="000654AD">
        <w:rPr>
          <w:rFonts w:ascii="Arial" w:eastAsia="Times New Roman" w:hAnsi="Arial" w:cs="Arial"/>
          <w:sz w:val="20"/>
          <w:szCs w:val="20"/>
          <w:lang w:val="en-US" w:eastAsia="en-AU"/>
        </w:rPr>
        <w:t>Rury</w:t>
      </w:r>
      <w:proofErr w:type="spellEnd"/>
      <w:r w:rsidRPr="000654AD">
        <w:rPr>
          <w:rFonts w:ascii="Arial" w:eastAsia="Times New Roman" w:hAnsi="Arial" w:cs="Arial"/>
          <w:sz w:val="20"/>
          <w:szCs w:val="20"/>
          <w:lang w:val="en-US" w:eastAsia="en-AU"/>
        </w:rPr>
        <w:t xml:space="preserve">, J. L. &amp; Tamura, E. (eds.) </w:t>
      </w:r>
      <w:r w:rsidRPr="000654AD">
        <w:rPr>
          <w:rFonts w:ascii="Arial" w:eastAsia="Times New Roman" w:hAnsi="Arial" w:cs="Arial"/>
          <w:i/>
          <w:iCs/>
          <w:sz w:val="20"/>
          <w:szCs w:val="20"/>
          <w:lang w:val="en-US" w:eastAsia="en-AU"/>
        </w:rPr>
        <w:t>Oxford handbook of the history of education.</w:t>
      </w:r>
      <w:r w:rsidRPr="000654AD">
        <w:rPr>
          <w:rFonts w:ascii="Arial" w:eastAsia="Times New Roman" w:hAnsi="Arial" w:cs="Arial"/>
          <w:sz w:val="20"/>
          <w:szCs w:val="20"/>
          <w:lang w:val="en-US" w:eastAsia="en-AU"/>
        </w:rPr>
        <w:t xml:space="preserve"> Oxford: Oxford University Press.</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Connell, W. F. 1987. Research and writing in the history of education.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Keeves, J. P. (ed.) </w:t>
      </w:r>
      <w:r w:rsidRPr="000654AD">
        <w:rPr>
          <w:rFonts w:ascii="Arial" w:eastAsia="Times New Roman" w:hAnsi="Arial" w:cs="Arial"/>
          <w:i/>
          <w:iCs/>
          <w:sz w:val="20"/>
          <w:szCs w:val="20"/>
          <w:lang w:val="en-US" w:eastAsia="en-AU"/>
        </w:rPr>
        <w:t>Australian education: Review of recent research.</w:t>
      </w:r>
      <w:r w:rsidRPr="000654AD">
        <w:rPr>
          <w:rFonts w:ascii="Arial" w:eastAsia="Times New Roman" w:hAnsi="Arial" w:cs="Arial"/>
          <w:sz w:val="20"/>
          <w:szCs w:val="20"/>
          <w:lang w:val="en-US" w:eastAsia="en-AU"/>
        </w:rPr>
        <w:t xml:space="preserve"> Sydney: Allen and </w:t>
      </w:r>
      <w:proofErr w:type="spellStart"/>
      <w:r w:rsidRPr="000654AD">
        <w:rPr>
          <w:rFonts w:ascii="Arial" w:eastAsia="Times New Roman" w:hAnsi="Arial" w:cs="Arial"/>
          <w:sz w:val="20"/>
          <w:szCs w:val="20"/>
          <w:lang w:val="en-US" w:eastAsia="en-AU"/>
        </w:rPr>
        <w:t>Unwin</w:t>
      </w:r>
      <w:proofErr w:type="spellEnd"/>
      <w:r w:rsidRPr="000654AD">
        <w:rPr>
          <w:rFonts w:ascii="Arial" w:eastAsia="Times New Roman" w:hAnsi="Arial" w:cs="Arial"/>
          <w:sz w:val="20"/>
          <w:szCs w:val="20"/>
          <w:lang w:val="en-US" w:eastAsia="en-AU"/>
        </w:rPr>
        <w:t>.</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Miller, P. &amp; Davey, I. 1990. Family formation, schooling and the patriarchal state.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w:t>
      </w:r>
      <w:proofErr w:type="spellStart"/>
      <w:r w:rsidRPr="000654AD">
        <w:rPr>
          <w:rFonts w:ascii="Arial" w:eastAsia="Times New Roman" w:hAnsi="Arial" w:cs="Arial"/>
          <w:sz w:val="20"/>
          <w:szCs w:val="20"/>
          <w:lang w:val="en-US" w:eastAsia="en-AU"/>
        </w:rPr>
        <w:t>Theobald</w:t>
      </w:r>
      <w:proofErr w:type="spellEnd"/>
      <w:r w:rsidRPr="000654AD">
        <w:rPr>
          <w:rFonts w:ascii="Arial" w:eastAsia="Times New Roman" w:hAnsi="Arial" w:cs="Arial"/>
          <w:sz w:val="20"/>
          <w:szCs w:val="20"/>
          <w:lang w:val="en-US" w:eastAsia="en-AU"/>
        </w:rPr>
        <w:t xml:space="preserve">, M. R. &amp; </w:t>
      </w:r>
      <w:proofErr w:type="spellStart"/>
      <w:r w:rsidRPr="000654AD">
        <w:rPr>
          <w:rFonts w:ascii="Arial" w:eastAsia="Times New Roman" w:hAnsi="Arial" w:cs="Arial"/>
          <w:sz w:val="20"/>
          <w:szCs w:val="20"/>
          <w:lang w:val="en-US" w:eastAsia="en-AU"/>
        </w:rPr>
        <w:t>Selleck</w:t>
      </w:r>
      <w:proofErr w:type="spellEnd"/>
      <w:r w:rsidRPr="000654AD">
        <w:rPr>
          <w:rFonts w:ascii="Arial" w:eastAsia="Times New Roman" w:hAnsi="Arial" w:cs="Arial"/>
          <w:sz w:val="20"/>
          <w:szCs w:val="20"/>
          <w:lang w:val="en-US" w:eastAsia="en-AU"/>
        </w:rPr>
        <w:t xml:space="preserve">, R. J. W. (eds.) </w:t>
      </w:r>
      <w:r w:rsidRPr="000654AD">
        <w:rPr>
          <w:rFonts w:ascii="Arial" w:eastAsia="Times New Roman" w:hAnsi="Arial" w:cs="Arial"/>
          <w:i/>
          <w:iCs/>
          <w:sz w:val="20"/>
          <w:szCs w:val="20"/>
          <w:lang w:val="en-US" w:eastAsia="en-AU"/>
        </w:rPr>
        <w:t>Family, school and state in Australian history.</w:t>
      </w:r>
      <w:r w:rsidRPr="000654AD">
        <w:rPr>
          <w:rFonts w:ascii="Arial" w:eastAsia="Times New Roman" w:hAnsi="Arial" w:cs="Arial"/>
          <w:sz w:val="20"/>
          <w:szCs w:val="20"/>
          <w:lang w:val="en-US" w:eastAsia="en-AU"/>
        </w:rPr>
        <w:t xml:space="preserve"> Sydney: Allen &amp; </w:t>
      </w:r>
      <w:proofErr w:type="spellStart"/>
      <w:r w:rsidRPr="000654AD">
        <w:rPr>
          <w:rFonts w:ascii="Arial" w:eastAsia="Times New Roman" w:hAnsi="Arial" w:cs="Arial"/>
          <w:sz w:val="20"/>
          <w:szCs w:val="20"/>
          <w:lang w:val="en-US" w:eastAsia="en-AU"/>
        </w:rPr>
        <w:t>Unwin</w:t>
      </w:r>
      <w:proofErr w:type="spellEnd"/>
      <w:r w:rsidRPr="000654AD">
        <w:rPr>
          <w:rFonts w:ascii="Arial" w:eastAsia="Times New Roman" w:hAnsi="Arial" w:cs="Arial"/>
          <w:sz w:val="20"/>
          <w:szCs w:val="20"/>
          <w:lang w:val="en-US" w:eastAsia="en-AU"/>
        </w:rPr>
        <w:t>.</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proofErr w:type="spellStart"/>
      <w:r w:rsidRPr="000654AD">
        <w:rPr>
          <w:rFonts w:ascii="Arial" w:eastAsia="Times New Roman" w:hAnsi="Arial" w:cs="Arial"/>
          <w:sz w:val="20"/>
          <w:szCs w:val="20"/>
          <w:lang w:val="en-US" w:eastAsia="en-AU"/>
        </w:rPr>
        <w:t>O’Donoghue</w:t>
      </w:r>
      <w:proofErr w:type="spellEnd"/>
      <w:r w:rsidRPr="000654AD">
        <w:rPr>
          <w:rFonts w:ascii="Arial" w:eastAsia="Times New Roman" w:hAnsi="Arial" w:cs="Arial"/>
          <w:sz w:val="20"/>
          <w:szCs w:val="20"/>
          <w:lang w:val="en-US" w:eastAsia="en-AU"/>
        </w:rPr>
        <w:t xml:space="preserve">, T. 2014 (forthcoming). History of education research in Australia: Some current trends and possible directions for the future. </w:t>
      </w:r>
      <w:proofErr w:type="spellStart"/>
      <w:r w:rsidRPr="000654AD">
        <w:rPr>
          <w:rFonts w:ascii="Arial" w:eastAsia="Times New Roman" w:hAnsi="Arial" w:cs="Arial"/>
          <w:i/>
          <w:iCs/>
          <w:sz w:val="20"/>
          <w:szCs w:val="20"/>
          <w:lang w:val="en-US" w:eastAsia="en-AU"/>
        </w:rPr>
        <w:t>Paedagogica</w:t>
      </w:r>
      <w:proofErr w:type="spellEnd"/>
      <w:r w:rsidRPr="000654AD">
        <w:rPr>
          <w:rFonts w:ascii="Arial" w:eastAsia="Times New Roman" w:hAnsi="Arial" w:cs="Arial"/>
          <w:i/>
          <w:iCs/>
          <w:sz w:val="20"/>
          <w:szCs w:val="20"/>
          <w:lang w:val="en-US" w:eastAsia="en-AU"/>
        </w:rPr>
        <w:t xml:space="preserve"> </w:t>
      </w:r>
      <w:proofErr w:type="spellStart"/>
      <w:r w:rsidRPr="000654AD">
        <w:rPr>
          <w:rFonts w:ascii="Arial" w:eastAsia="Times New Roman" w:hAnsi="Arial" w:cs="Arial"/>
          <w:i/>
          <w:iCs/>
          <w:sz w:val="20"/>
          <w:szCs w:val="20"/>
          <w:lang w:val="en-US" w:eastAsia="en-AU"/>
        </w:rPr>
        <w:t>Historica</w:t>
      </w:r>
      <w:proofErr w:type="spellEnd"/>
      <w:r w:rsidRPr="000654AD">
        <w:rPr>
          <w:rFonts w:ascii="Arial" w:eastAsia="Times New Roman" w:hAnsi="Arial" w:cs="Arial"/>
          <w:sz w:val="20"/>
          <w:szCs w:val="20"/>
          <w:lang w:val="en-US" w:eastAsia="en-AU"/>
        </w:rPr>
        <w:t>.</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r w:rsidRPr="000654AD">
        <w:rPr>
          <w:rFonts w:ascii="Arial" w:eastAsia="Times New Roman" w:hAnsi="Arial" w:cs="Arial"/>
          <w:sz w:val="20"/>
          <w:szCs w:val="20"/>
          <w:lang w:val="en-US" w:eastAsia="en-AU"/>
        </w:rPr>
        <w:t xml:space="preserve">Prentice, A. &amp; </w:t>
      </w:r>
      <w:proofErr w:type="spellStart"/>
      <w:r w:rsidRPr="000654AD">
        <w:rPr>
          <w:rFonts w:ascii="Arial" w:eastAsia="Times New Roman" w:hAnsi="Arial" w:cs="Arial"/>
          <w:sz w:val="20"/>
          <w:szCs w:val="20"/>
          <w:lang w:val="en-US" w:eastAsia="en-AU"/>
        </w:rPr>
        <w:t>Theobald</w:t>
      </w:r>
      <w:proofErr w:type="spellEnd"/>
      <w:r w:rsidRPr="000654AD">
        <w:rPr>
          <w:rFonts w:ascii="Arial" w:eastAsia="Times New Roman" w:hAnsi="Arial" w:cs="Arial"/>
          <w:sz w:val="20"/>
          <w:szCs w:val="20"/>
          <w:lang w:val="en-US" w:eastAsia="en-AU"/>
        </w:rPr>
        <w:t xml:space="preserve">, M. R. 1991. The historiography of women teachers: A retrospect.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Prentice, A. &amp; </w:t>
      </w:r>
      <w:proofErr w:type="spellStart"/>
      <w:r w:rsidRPr="000654AD">
        <w:rPr>
          <w:rFonts w:ascii="Arial" w:eastAsia="Times New Roman" w:hAnsi="Arial" w:cs="Arial"/>
          <w:sz w:val="20"/>
          <w:szCs w:val="20"/>
          <w:lang w:val="en-US" w:eastAsia="en-AU"/>
        </w:rPr>
        <w:t>Theobald</w:t>
      </w:r>
      <w:proofErr w:type="spellEnd"/>
      <w:r w:rsidRPr="000654AD">
        <w:rPr>
          <w:rFonts w:ascii="Arial" w:eastAsia="Times New Roman" w:hAnsi="Arial" w:cs="Arial"/>
          <w:sz w:val="20"/>
          <w:szCs w:val="20"/>
          <w:lang w:val="en-US" w:eastAsia="en-AU"/>
        </w:rPr>
        <w:t xml:space="preserve">, M. R. (eds.) </w:t>
      </w:r>
      <w:r w:rsidRPr="000654AD">
        <w:rPr>
          <w:rFonts w:ascii="Arial" w:eastAsia="Times New Roman" w:hAnsi="Arial" w:cs="Arial"/>
          <w:i/>
          <w:iCs/>
          <w:sz w:val="20"/>
          <w:szCs w:val="20"/>
          <w:lang w:val="en-US" w:eastAsia="en-AU"/>
        </w:rPr>
        <w:t>Women who taught: Perspectives on the history of women and teaching.</w:t>
      </w:r>
      <w:r w:rsidRPr="000654AD">
        <w:rPr>
          <w:rFonts w:ascii="Arial" w:eastAsia="Times New Roman" w:hAnsi="Arial" w:cs="Arial"/>
          <w:sz w:val="20"/>
          <w:szCs w:val="20"/>
          <w:lang w:val="en-US" w:eastAsia="en-AU"/>
        </w:rPr>
        <w:t xml:space="preserve"> Toronto: University of Toronto Press.</w:t>
      </w:r>
    </w:p>
    <w:p w:rsidR="000654AD" w:rsidRPr="000654AD" w:rsidRDefault="000654AD" w:rsidP="000654AD">
      <w:pPr>
        <w:spacing w:after="40"/>
        <w:ind w:left="425" w:hanging="425"/>
        <w:textAlignment w:val="top"/>
        <w:rPr>
          <w:rFonts w:ascii="Arial" w:eastAsia="Times New Roman" w:hAnsi="Arial" w:cs="Arial"/>
          <w:sz w:val="20"/>
          <w:szCs w:val="20"/>
          <w:lang w:val="en-US" w:eastAsia="en-AU"/>
        </w:rPr>
      </w:pPr>
      <w:proofErr w:type="spellStart"/>
      <w:r w:rsidRPr="000654AD">
        <w:rPr>
          <w:rFonts w:ascii="Arial" w:eastAsia="Times New Roman" w:hAnsi="Arial" w:cs="Arial"/>
          <w:sz w:val="20"/>
          <w:szCs w:val="20"/>
          <w:lang w:val="en-US" w:eastAsia="en-AU"/>
        </w:rPr>
        <w:t>Theobald</w:t>
      </w:r>
      <w:proofErr w:type="spellEnd"/>
      <w:r w:rsidRPr="000654AD">
        <w:rPr>
          <w:rFonts w:ascii="Arial" w:eastAsia="Times New Roman" w:hAnsi="Arial" w:cs="Arial"/>
          <w:sz w:val="20"/>
          <w:szCs w:val="20"/>
          <w:lang w:val="en-US" w:eastAsia="en-AU"/>
        </w:rPr>
        <w:t xml:space="preserve">, M. 1998. Educational history.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Davison, G., </w:t>
      </w:r>
      <w:proofErr w:type="spellStart"/>
      <w:r w:rsidRPr="000654AD">
        <w:rPr>
          <w:rFonts w:ascii="Arial" w:eastAsia="Times New Roman" w:hAnsi="Arial" w:cs="Arial"/>
          <w:sz w:val="20"/>
          <w:szCs w:val="20"/>
          <w:lang w:val="en-US" w:eastAsia="en-AU"/>
        </w:rPr>
        <w:t>Hirst</w:t>
      </w:r>
      <w:proofErr w:type="spellEnd"/>
      <w:r w:rsidRPr="000654AD">
        <w:rPr>
          <w:rFonts w:ascii="Arial" w:eastAsia="Times New Roman" w:hAnsi="Arial" w:cs="Arial"/>
          <w:sz w:val="20"/>
          <w:szCs w:val="20"/>
          <w:lang w:val="en-US" w:eastAsia="en-AU"/>
        </w:rPr>
        <w:t xml:space="preserve">, J. &amp; Macintyre, S. (eds.) </w:t>
      </w:r>
      <w:r w:rsidRPr="000654AD">
        <w:rPr>
          <w:rFonts w:ascii="Arial" w:eastAsia="Times New Roman" w:hAnsi="Arial" w:cs="Arial"/>
          <w:i/>
          <w:iCs/>
          <w:sz w:val="20"/>
          <w:szCs w:val="20"/>
          <w:lang w:val="en-US" w:eastAsia="en-AU"/>
        </w:rPr>
        <w:t>The Oxford companion to Australian history.</w:t>
      </w:r>
      <w:r w:rsidRPr="000654AD">
        <w:rPr>
          <w:rFonts w:ascii="Arial" w:eastAsia="Times New Roman" w:hAnsi="Arial" w:cs="Arial"/>
          <w:sz w:val="20"/>
          <w:szCs w:val="20"/>
          <w:lang w:val="en-US" w:eastAsia="en-AU"/>
        </w:rPr>
        <w:t xml:space="preserve"> Melbourne: Oxford University Press.</w:t>
      </w:r>
    </w:p>
    <w:p w:rsidR="000654AD" w:rsidRPr="000654AD" w:rsidRDefault="000654AD" w:rsidP="000654AD">
      <w:pPr>
        <w:ind w:left="426" w:hanging="426"/>
        <w:textAlignment w:val="top"/>
        <w:rPr>
          <w:rFonts w:ascii="Arial" w:eastAsia="Times New Roman" w:hAnsi="Arial" w:cs="Arial"/>
          <w:sz w:val="20"/>
          <w:szCs w:val="20"/>
          <w:lang w:val="en-US" w:eastAsia="en-AU"/>
        </w:rPr>
      </w:pPr>
      <w:proofErr w:type="spellStart"/>
      <w:r w:rsidRPr="000654AD">
        <w:rPr>
          <w:rFonts w:ascii="Arial" w:eastAsia="Times New Roman" w:hAnsi="Arial" w:cs="Arial"/>
          <w:sz w:val="20"/>
          <w:szCs w:val="20"/>
          <w:lang w:val="en-US" w:eastAsia="en-AU"/>
        </w:rPr>
        <w:t>Wimshurst</w:t>
      </w:r>
      <w:proofErr w:type="spellEnd"/>
      <w:r w:rsidRPr="000654AD">
        <w:rPr>
          <w:rFonts w:ascii="Arial" w:eastAsia="Times New Roman" w:hAnsi="Arial" w:cs="Arial"/>
          <w:sz w:val="20"/>
          <w:szCs w:val="20"/>
          <w:lang w:val="en-US" w:eastAsia="en-AU"/>
        </w:rPr>
        <w:t xml:space="preserve">, K. &amp; Davey, I. E. 1992. The ‘state’ of the history of urban education in Australia. </w:t>
      </w:r>
      <w:r w:rsidRPr="000654AD">
        <w:rPr>
          <w:rFonts w:ascii="Arial" w:eastAsia="Times New Roman" w:hAnsi="Arial" w:cs="Arial"/>
          <w:i/>
          <w:iCs/>
          <w:sz w:val="20"/>
          <w:szCs w:val="20"/>
          <w:lang w:val="en-US" w:eastAsia="en-AU"/>
        </w:rPr>
        <w:t>In:</w:t>
      </w:r>
      <w:r w:rsidRPr="000654AD">
        <w:rPr>
          <w:rFonts w:ascii="Arial" w:eastAsia="Times New Roman" w:hAnsi="Arial" w:cs="Arial"/>
          <w:sz w:val="20"/>
          <w:szCs w:val="20"/>
          <w:lang w:val="en-US" w:eastAsia="en-AU"/>
        </w:rPr>
        <w:t xml:space="preserve"> </w:t>
      </w:r>
      <w:proofErr w:type="spellStart"/>
      <w:r w:rsidRPr="000654AD">
        <w:rPr>
          <w:rFonts w:ascii="Arial" w:eastAsia="Times New Roman" w:hAnsi="Arial" w:cs="Arial"/>
          <w:sz w:val="20"/>
          <w:szCs w:val="20"/>
          <w:lang w:val="en-US" w:eastAsia="en-AU"/>
        </w:rPr>
        <w:t>Goodenow</w:t>
      </w:r>
      <w:proofErr w:type="spellEnd"/>
      <w:r w:rsidRPr="000654AD">
        <w:rPr>
          <w:rFonts w:ascii="Arial" w:eastAsia="Times New Roman" w:hAnsi="Arial" w:cs="Arial"/>
          <w:sz w:val="20"/>
          <w:szCs w:val="20"/>
          <w:lang w:val="en-US" w:eastAsia="en-AU"/>
        </w:rPr>
        <w:t xml:space="preserve">, R. K. &amp; Marsden, W. E. (eds.) </w:t>
      </w:r>
      <w:r w:rsidRPr="000654AD">
        <w:rPr>
          <w:rFonts w:ascii="Arial" w:eastAsia="Times New Roman" w:hAnsi="Arial" w:cs="Arial"/>
          <w:i/>
          <w:iCs/>
          <w:sz w:val="20"/>
          <w:szCs w:val="20"/>
          <w:lang w:val="en-US" w:eastAsia="en-AU"/>
        </w:rPr>
        <w:t>The city and education in four nations.</w:t>
      </w:r>
      <w:r w:rsidRPr="000654AD">
        <w:rPr>
          <w:rFonts w:ascii="Arial" w:eastAsia="Times New Roman" w:hAnsi="Arial" w:cs="Arial"/>
          <w:sz w:val="20"/>
          <w:szCs w:val="20"/>
          <w:lang w:val="en-US" w:eastAsia="en-AU"/>
        </w:rPr>
        <w:t xml:space="preserve"> Cambridge: Cambridge University Press.</w:t>
      </w:r>
    </w:p>
    <w:p w:rsidR="000654AD" w:rsidRPr="000654AD" w:rsidRDefault="000654AD" w:rsidP="000654AD">
      <w:pPr>
        <w:spacing w:after="92"/>
        <w:textAlignment w:val="top"/>
        <w:outlineLvl w:val="1"/>
        <w:rPr>
          <w:rFonts w:ascii="Lato" w:eastAsia="Times New Roman" w:hAnsi="Lato" w:cs="Arial"/>
          <w:b/>
          <w:bCs/>
          <w:sz w:val="42"/>
          <w:szCs w:val="42"/>
          <w:lang w:val="en-US" w:eastAsia="en-AU"/>
        </w:rPr>
      </w:pPr>
      <w:r w:rsidRPr="000654AD">
        <w:rPr>
          <w:rFonts w:ascii="Lato" w:eastAsia="Times New Roman" w:hAnsi="Lato" w:cs="Arial"/>
          <w:b/>
          <w:bCs/>
          <w:sz w:val="42"/>
          <w:szCs w:val="42"/>
          <w:lang w:val="en-US" w:eastAsia="en-AU"/>
        </w:rPr>
        <w:t>Citation of this entry</w:t>
      </w:r>
    </w:p>
    <w:p w:rsidR="00591785" w:rsidRPr="000654AD" w:rsidRDefault="000654AD" w:rsidP="000654AD">
      <w:pPr>
        <w:ind w:left="426" w:hanging="426"/>
        <w:textAlignment w:val="top"/>
      </w:pPr>
      <w:r w:rsidRPr="000654AD">
        <w:rPr>
          <w:rFonts w:ascii="Arial" w:eastAsia="Times New Roman" w:hAnsi="Arial" w:cs="Arial"/>
          <w:sz w:val="20"/>
          <w:szCs w:val="20"/>
          <w:lang w:val="en-US" w:eastAsia="en-AU"/>
        </w:rPr>
        <w:t xml:space="preserve">Campbell, C. 2014. Historiography. </w:t>
      </w:r>
      <w:r w:rsidRPr="000654AD">
        <w:rPr>
          <w:rFonts w:ascii="Arial" w:eastAsia="Times New Roman" w:hAnsi="Arial" w:cs="Arial"/>
          <w:i/>
          <w:iCs/>
          <w:sz w:val="20"/>
          <w:szCs w:val="20"/>
          <w:lang w:val="en-US" w:eastAsia="en-AU"/>
        </w:rPr>
        <w:t>Dictionary of Educational History in Australia and New Zealand (</w:t>
      </w:r>
      <w:proofErr w:type="spellStart"/>
      <w:r w:rsidRPr="000654AD">
        <w:rPr>
          <w:rFonts w:ascii="Arial" w:eastAsia="Times New Roman" w:hAnsi="Arial" w:cs="Arial"/>
          <w:i/>
          <w:iCs/>
          <w:sz w:val="20"/>
          <w:szCs w:val="20"/>
          <w:lang w:val="en-US" w:eastAsia="en-AU"/>
        </w:rPr>
        <w:t>DEHANZ</w:t>
      </w:r>
      <w:proofErr w:type="spellEnd"/>
      <w:r w:rsidRPr="000654AD">
        <w:rPr>
          <w:rFonts w:ascii="Arial" w:eastAsia="Times New Roman" w:hAnsi="Arial" w:cs="Arial"/>
          <w:i/>
          <w:iCs/>
          <w:sz w:val="20"/>
          <w:szCs w:val="20"/>
          <w:lang w:val="en-US" w:eastAsia="en-AU"/>
        </w:rPr>
        <w:t>)</w:t>
      </w:r>
      <w:r w:rsidRPr="000654AD">
        <w:rPr>
          <w:rFonts w:ascii="Arial" w:eastAsia="Times New Roman" w:hAnsi="Arial" w:cs="Arial"/>
          <w:sz w:val="20"/>
          <w:szCs w:val="20"/>
          <w:lang w:val="en-US" w:eastAsia="en-AU"/>
        </w:rPr>
        <w:t xml:space="preserve">, 15 September. Available: </w:t>
      </w:r>
      <w:hyperlink r:id="rId13" w:history="1">
        <w:proofErr w:type="spellStart"/>
        <w:r w:rsidRPr="000654AD">
          <w:rPr>
            <w:rFonts w:ascii="Arial" w:eastAsia="Times New Roman" w:hAnsi="Arial" w:cs="Arial"/>
            <w:sz w:val="20"/>
            <w:szCs w:val="20"/>
            <w:lang w:val="en-US" w:eastAsia="en-AU"/>
          </w:rPr>
          <w:t>http://dehanz.net.au</w:t>
        </w:r>
        <w:proofErr w:type="spellEnd"/>
      </w:hyperlink>
    </w:p>
    <w:sectPr w:rsidR="00591785" w:rsidRPr="000654AD" w:rsidSect="00591785">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EA" w:rsidRDefault="00F921EA" w:rsidP="000654AD">
      <w:r>
        <w:separator/>
      </w:r>
    </w:p>
  </w:endnote>
  <w:endnote w:type="continuationSeparator" w:id="0">
    <w:p w:rsidR="00F921EA" w:rsidRDefault="00F921EA" w:rsidP="00065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001"/>
      <w:docPartObj>
        <w:docPartGallery w:val="Page Numbers (Bottom of Page)"/>
        <w:docPartUnique/>
      </w:docPartObj>
    </w:sdtPr>
    <w:sdtContent>
      <w:p w:rsidR="000654AD" w:rsidRDefault="000654AD">
        <w:pPr>
          <w:pStyle w:val="Footer"/>
          <w:jc w:val="right"/>
        </w:pPr>
        <w:r>
          <w:t>Historiography (</w:t>
        </w:r>
        <w:r w:rsidRPr="000654AD">
          <w:rPr>
            <w:i/>
          </w:rPr>
          <w:t>DEHANZ</w:t>
        </w:r>
        <w:r>
          <w:t xml:space="preserve">)        </w:t>
        </w:r>
        <w:fldSimple w:instr=" PAGE   \* MERGEFORMAT ">
          <w:r>
            <w:rPr>
              <w:noProof/>
            </w:rPr>
            <w:t>1</w:t>
          </w:r>
        </w:fldSimple>
      </w:p>
    </w:sdtContent>
  </w:sdt>
  <w:p w:rsidR="000654AD" w:rsidRDefault="00065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EA" w:rsidRDefault="00F921EA" w:rsidP="000654AD">
      <w:r>
        <w:separator/>
      </w:r>
    </w:p>
  </w:footnote>
  <w:footnote w:type="continuationSeparator" w:id="0">
    <w:p w:rsidR="00F921EA" w:rsidRDefault="00F921EA" w:rsidP="00065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6DBC"/>
    <w:multiLevelType w:val="hybridMultilevel"/>
    <w:tmpl w:val="34A2BBA8"/>
    <w:lvl w:ilvl="0" w:tplc="F77631EC">
      <w:start w:val="1"/>
      <w:numFmt w:val="bullet"/>
      <w:pStyle w:val="DEListpoin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6B6836F2"/>
    <w:multiLevelType w:val="hybridMultilevel"/>
    <w:tmpl w:val="54FA6ECC"/>
    <w:lvl w:ilvl="0" w:tplc="ED50B91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0"/>
  </w:num>
  <w:num w:numId="16">
    <w:abstractNumId w:val="0"/>
  </w:num>
  <w:num w:numId="17">
    <w:abstractNumId w:val="0"/>
  </w:num>
  <w:num w:numId="18">
    <w:abstractNumId w:val="0"/>
  </w:num>
  <w:num w:numId="19">
    <w:abstractNumId w:val="1"/>
  </w:num>
  <w:num w:numId="20">
    <w:abstractNumId w:val="0"/>
  </w:num>
  <w:num w:numId="21">
    <w:abstractNumId w:val="1"/>
  </w:num>
  <w:num w:numId="22">
    <w:abstractNumId w:val="0"/>
  </w:num>
  <w:num w:numId="23">
    <w:abstractNumId w:val="0"/>
  </w:num>
  <w:num w:numId="24">
    <w:abstractNumId w:val="1"/>
  </w:num>
  <w:num w:numId="25">
    <w:abstractNumId w:val="0"/>
  </w:num>
  <w:num w:numId="26">
    <w:abstractNumId w:val="1"/>
  </w:num>
  <w:num w:numId="27">
    <w:abstractNumId w:val="0"/>
  </w:num>
  <w:num w:numId="28">
    <w:abstractNumId w:val="1"/>
  </w:num>
  <w:num w:numId="29">
    <w:abstractNumId w:val="1"/>
  </w:num>
  <w:num w:numId="30">
    <w:abstractNumId w:val="1"/>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20"/>
  <w:characterSpacingControl w:val="doNotCompress"/>
  <w:footnotePr>
    <w:footnote w:id="-1"/>
    <w:footnote w:id="0"/>
  </w:footnotePr>
  <w:endnotePr>
    <w:endnote w:id="-1"/>
    <w:endnote w:id="0"/>
  </w:endnotePr>
  <w:compat/>
  <w:rsids>
    <w:rsidRoot w:val="000654AD"/>
    <w:rsid w:val="00012909"/>
    <w:rsid w:val="0001370E"/>
    <w:rsid w:val="0002169B"/>
    <w:rsid w:val="00023A46"/>
    <w:rsid w:val="000654AD"/>
    <w:rsid w:val="00097749"/>
    <w:rsid w:val="000F1478"/>
    <w:rsid w:val="00147FD6"/>
    <w:rsid w:val="00165029"/>
    <w:rsid w:val="001A066D"/>
    <w:rsid w:val="00205B86"/>
    <w:rsid w:val="00211302"/>
    <w:rsid w:val="0021322C"/>
    <w:rsid w:val="0023632E"/>
    <w:rsid w:val="00267C2D"/>
    <w:rsid w:val="002A0E8A"/>
    <w:rsid w:val="002B6497"/>
    <w:rsid w:val="002E0F17"/>
    <w:rsid w:val="00301904"/>
    <w:rsid w:val="0036161E"/>
    <w:rsid w:val="00365ADA"/>
    <w:rsid w:val="003E4AA8"/>
    <w:rsid w:val="00425442"/>
    <w:rsid w:val="00452A73"/>
    <w:rsid w:val="0046185C"/>
    <w:rsid w:val="00471E21"/>
    <w:rsid w:val="00550B16"/>
    <w:rsid w:val="00572590"/>
    <w:rsid w:val="00591785"/>
    <w:rsid w:val="005D6206"/>
    <w:rsid w:val="005D7FB3"/>
    <w:rsid w:val="005F5D3D"/>
    <w:rsid w:val="00634F76"/>
    <w:rsid w:val="0065297D"/>
    <w:rsid w:val="006C38D5"/>
    <w:rsid w:val="006D431E"/>
    <w:rsid w:val="006E2412"/>
    <w:rsid w:val="006F048F"/>
    <w:rsid w:val="00703CB6"/>
    <w:rsid w:val="007153D5"/>
    <w:rsid w:val="0074747C"/>
    <w:rsid w:val="00821DEE"/>
    <w:rsid w:val="008741F8"/>
    <w:rsid w:val="00922F96"/>
    <w:rsid w:val="009826BB"/>
    <w:rsid w:val="009F6346"/>
    <w:rsid w:val="00A11CD0"/>
    <w:rsid w:val="00A25C0A"/>
    <w:rsid w:val="00A44B7F"/>
    <w:rsid w:val="00A67453"/>
    <w:rsid w:val="00A7416A"/>
    <w:rsid w:val="00AC0445"/>
    <w:rsid w:val="00AC40A7"/>
    <w:rsid w:val="00B1469C"/>
    <w:rsid w:val="00B552E3"/>
    <w:rsid w:val="00BD02BA"/>
    <w:rsid w:val="00C55221"/>
    <w:rsid w:val="00CB0819"/>
    <w:rsid w:val="00D023D9"/>
    <w:rsid w:val="00D86C93"/>
    <w:rsid w:val="00E35A90"/>
    <w:rsid w:val="00EB6B13"/>
    <w:rsid w:val="00F047C5"/>
    <w:rsid w:val="00F921EA"/>
    <w:rsid w:val="00FD5161"/>
    <w:rsid w:val="00FE58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D5"/>
    <w:rPr>
      <w:sz w:val="22"/>
      <w:szCs w:val="22"/>
    </w:rPr>
  </w:style>
  <w:style w:type="paragraph" w:styleId="Heading1">
    <w:name w:val="heading 1"/>
    <w:basedOn w:val="Normal"/>
    <w:next w:val="Normal"/>
    <w:link w:val="Heading1Char"/>
    <w:uiPriority w:val="9"/>
    <w:qFormat/>
    <w:rsid w:val="007153D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153D5"/>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unhideWhenUsed/>
    <w:qFormat/>
    <w:rsid w:val="007153D5"/>
    <w:pPr>
      <w:keepNext/>
      <w:spacing w:before="240" w:after="60"/>
      <w:outlineLvl w:val="2"/>
    </w:pPr>
    <w:rPr>
      <w:rFonts w:ascii="Cambria" w:eastAsiaTheme="majorEastAsia" w:hAnsi="Cambria" w:cstheme="majorBidi"/>
      <w:b/>
      <w:bCs/>
      <w:sz w:val="26"/>
      <w:szCs w:val="26"/>
    </w:rPr>
  </w:style>
  <w:style w:type="paragraph" w:styleId="Heading4">
    <w:name w:val="heading 4"/>
    <w:basedOn w:val="Normal"/>
    <w:link w:val="Heading4Char"/>
    <w:uiPriority w:val="9"/>
    <w:qFormat/>
    <w:rsid w:val="000654AD"/>
    <w:pPr>
      <w:spacing w:after="92"/>
      <w:outlineLvl w:val="3"/>
    </w:pPr>
    <w:rPr>
      <w:rFonts w:ascii="Lato" w:eastAsia="Times New Roman" w:hAnsi="Lato"/>
      <w:b/>
      <w:bCs/>
      <w:color w:val="1F1919"/>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31E"/>
  </w:style>
  <w:style w:type="paragraph" w:styleId="Caption">
    <w:name w:val="caption"/>
    <w:basedOn w:val="Normal"/>
    <w:next w:val="Normal"/>
    <w:uiPriority w:val="35"/>
    <w:unhideWhenUsed/>
    <w:qFormat/>
    <w:rsid w:val="007153D5"/>
    <w:rPr>
      <w:bCs/>
      <w:color w:val="002060"/>
      <w:sz w:val="18"/>
      <w:szCs w:val="20"/>
    </w:rPr>
  </w:style>
  <w:style w:type="character" w:customStyle="1" w:styleId="Heading1Char">
    <w:name w:val="Heading 1 Char"/>
    <w:basedOn w:val="DefaultParagraphFont"/>
    <w:link w:val="Heading1"/>
    <w:uiPriority w:val="9"/>
    <w:rsid w:val="007153D5"/>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uiPriority w:val="9"/>
    <w:rsid w:val="007153D5"/>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rsid w:val="007153D5"/>
    <w:rPr>
      <w:rFonts w:ascii="Cambria" w:eastAsiaTheme="majorEastAsia" w:hAnsi="Cambria" w:cstheme="majorBidi"/>
      <w:b/>
      <w:bCs/>
      <w:sz w:val="26"/>
      <w:szCs w:val="26"/>
    </w:rPr>
  </w:style>
  <w:style w:type="paragraph" w:styleId="Header">
    <w:name w:val="header"/>
    <w:basedOn w:val="Normal"/>
    <w:link w:val="HeaderChar"/>
    <w:uiPriority w:val="99"/>
    <w:rsid w:val="007153D5"/>
    <w:pPr>
      <w:tabs>
        <w:tab w:val="center" w:pos="4513"/>
        <w:tab w:val="right" w:pos="9026"/>
      </w:tabs>
    </w:pPr>
  </w:style>
  <w:style w:type="character" w:customStyle="1" w:styleId="HeaderChar">
    <w:name w:val="Header Char"/>
    <w:basedOn w:val="DefaultParagraphFont"/>
    <w:link w:val="Header"/>
    <w:uiPriority w:val="99"/>
    <w:rsid w:val="007153D5"/>
    <w:rPr>
      <w:sz w:val="22"/>
      <w:szCs w:val="22"/>
    </w:rPr>
  </w:style>
  <w:style w:type="paragraph" w:styleId="Footer">
    <w:name w:val="footer"/>
    <w:basedOn w:val="Normal"/>
    <w:link w:val="FooterChar"/>
    <w:uiPriority w:val="99"/>
    <w:rsid w:val="007153D5"/>
    <w:pPr>
      <w:tabs>
        <w:tab w:val="center" w:pos="4320"/>
        <w:tab w:val="right" w:pos="8640"/>
      </w:tabs>
    </w:pPr>
  </w:style>
  <w:style w:type="character" w:customStyle="1" w:styleId="FooterChar">
    <w:name w:val="Footer Char"/>
    <w:basedOn w:val="DefaultParagraphFont"/>
    <w:link w:val="Footer"/>
    <w:uiPriority w:val="99"/>
    <w:rsid w:val="007153D5"/>
    <w:rPr>
      <w:sz w:val="22"/>
      <w:szCs w:val="22"/>
    </w:rPr>
  </w:style>
  <w:style w:type="character" w:styleId="PageNumber">
    <w:name w:val="page number"/>
    <w:basedOn w:val="DefaultParagraphFont"/>
    <w:rsid w:val="007153D5"/>
  </w:style>
  <w:style w:type="paragraph" w:styleId="BalloonText">
    <w:name w:val="Balloon Text"/>
    <w:basedOn w:val="Normal"/>
    <w:link w:val="BalloonTextChar"/>
    <w:rsid w:val="007153D5"/>
    <w:rPr>
      <w:rFonts w:ascii="Tahoma" w:hAnsi="Tahoma" w:cs="Tahoma"/>
      <w:sz w:val="16"/>
      <w:szCs w:val="16"/>
    </w:rPr>
  </w:style>
  <w:style w:type="character" w:customStyle="1" w:styleId="BalloonTextChar">
    <w:name w:val="Balloon Text Char"/>
    <w:basedOn w:val="DefaultParagraphFont"/>
    <w:link w:val="BalloonText"/>
    <w:rsid w:val="007153D5"/>
    <w:rPr>
      <w:rFonts w:ascii="Tahoma" w:hAnsi="Tahoma" w:cs="Tahoma"/>
      <w:sz w:val="16"/>
      <w:szCs w:val="16"/>
    </w:rPr>
  </w:style>
  <w:style w:type="paragraph" w:styleId="NoSpacing">
    <w:name w:val="No Spacing"/>
    <w:uiPriority w:val="1"/>
    <w:qFormat/>
    <w:rsid w:val="007153D5"/>
    <w:rPr>
      <w:rFonts w:cstheme="minorBidi"/>
      <w:sz w:val="22"/>
      <w:szCs w:val="22"/>
      <w:lang w:val="en-US"/>
    </w:rPr>
  </w:style>
  <w:style w:type="paragraph" w:customStyle="1" w:styleId="DEQuoteBlock">
    <w:name w:val="DE Quote Block"/>
    <w:basedOn w:val="Normal"/>
    <w:qFormat/>
    <w:rsid w:val="007153D5"/>
    <w:pPr>
      <w:spacing w:after="80"/>
      <w:ind w:left="567" w:right="403"/>
    </w:pPr>
    <w:rPr>
      <w:sz w:val="20"/>
      <w:szCs w:val="20"/>
    </w:rPr>
  </w:style>
  <w:style w:type="paragraph" w:customStyle="1" w:styleId="DEBibliogHeading">
    <w:name w:val="DE Bibliog Heading"/>
    <w:basedOn w:val="Normal"/>
    <w:qFormat/>
    <w:rsid w:val="007153D5"/>
    <w:pPr>
      <w:spacing w:before="240" w:after="40"/>
      <w:jc w:val="both"/>
    </w:pPr>
    <w:rPr>
      <w:b/>
    </w:rPr>
  </w:style>
  <w:style w:type="paragraph" w:customStyle="1" w:styleId="DEBibliogReference">
    <w:name w:val="DE Bibliog Reference"/>
    <w:basedOn w:val="Normal"/>
    <w:qFormat/>
    <w:rsid w:val="007153D5"/>
    <w:pPr>
      <w:ind w:left="709" w:hanging="709"/>
    </w:pPr>
    <w:rPr>
      <w:sz w:val="20"/>
      <w:szCs w:val="20"/>
    </w:rPr>
  </w:style>
  <w:style w:type="paragraph" w:customStyle="1" w:styleId="DEBibliogCitationReference">
    <w:name w:val="DE Bibliog Citation Reference"/>
    <w:basedOn w:val="Normal"/>
    <w:qFormat/>
    <w:rsid w:val="007153D5"/>
    <w:pPr>
      <w:ind w:left="709" w:hanging="709"/>
    </w:pPr>
    <w:rPr>
      <w:sz w:val="20"/>
      <w:szCs w:val="20"/>
    </w:rPr>
  </w:style>
  <w:style w:type="paragraph" w:customStyle="1" w:styleId="DEBibliogCitationHeading">
    <w:name w:val="DE Bibliog Citation Heading"/>
    <w:basedOn w:val="Normal"/>
    <w:qFormat/>
    <w:rsid w:val="007153D5"/>
    <w:pPr>
      <w:spacing w:before="240" w:after="40"/>
      <w:jc w:val="both"/>
    </w:pPr>
    <w:rPr>
      <w:b/>
    </w:rPr>
  </w:style>
  <w:style w:type="paragraph" w:customStyle="1" w:styleId="DEIndentedPara">
    <w:name w:val="DE Indented Para"/>
    <w:basedOn w:val="Normal"/>
    <w:qFormat/>
    <w:rsid w:val="006D431E"/>
    <w:pPr>
      <w:ind w:firstLine="426"/>
    </w:pPr>
  </w:style>
  <w:style w:type="paragraph" w:customStyle="1" w:styleId="DEkeywords">
    <w:name w:val="DE key words"/>
    <w:basedOn w:val="Normal"/>
    <w:qFormat/>
    <w:rsid w:val="007153D5"/>
    <w:pPr>
      <w:spacing w:before="120" w:after="120"/>
    </w:pPr>
    <w:rPr>
      <w:i/>
    </w:rPr>
  </w:style>
  <w:style w:type="character" w:styleId="EndnoteReference">
    <w:name w:val="endnote reference"/>
    <w:rsid w:val="007153D5"/>
    <w:rPr>
      <w:vertAlign w:val="superscript"/>
    </w:rPr>
  </w:style>
  <w:style w:type="paragraph" w:styleId="EndnoteText">
    <w:name w:val="endnote text"/>
    <w:basedOn w:val="Normal"/>
    <w:link w:val="EndnoteTextChar"/>
    <w:rsid w:val="007153D5"/>
    <w:pPr>
      <w:widowControl w:val="0"/>
    </w:pPr>
    <w:rPr>
      <w:rFonts w:ascii="Courier New" w:hAnsi="Courier New"/>
      <w:snapToGrid w:val="0"/>
      <w:sz w:val="24"/>
      <w:szCs w:val="20"/>
      <w:lang w:val="en-GB"/>
    </w:rPr>
  </w:style>
  <w:style w:type="character" w:customStyle="1" w:styleId="EndnoteTextChar">
    <w:name w:val="Endnote Text Char"/>
    <w:basedOn w:val="DefaultParagraphFont"/>
    <w:link w:val="EndnoteText"/>
    <w:rsid w:val="007153D5"/>
    <w:rPr>
      <w:rFonts w:ascii="Courier New" w:hAnsi="Courier New"/>
      <w:snapToGrid w:val="0"/>
      <w:sz w:val="24"/>
      <w:lang w:val="en-GB"/>
    </w:rPr>
  </w:style>
  <w:style w:type="character" w:styleId="Hyperlink">
    <w:name w:val="Hyperlink"/>
    <w:uiPriority w:val="99"/>
    <w:unhideWhenUsed/>
    <w:rsid w:val="007153D5"/>
    <w:rPr>
      <w:rFonts w:cs="Times New Roman"/>
      <w:b/>
      <w:color w:val="002060"/>
      <w:u w:val="single"/>
    </w:rPr>
  </w:style>
  <w:style w:type="paragraph" w:customStyle="1" w:styleId="DEParaIndented">
    <w:name w:val="DE Para Indented"/>
    <w:basedOn w:val="Normal"/>
    <w:qFormat/>
    <w:rsid w:val="007153D5"/>
    <w:pPr>
      <w:spacing w:after="80"/>
      <w:ind w:firstLine="425"/>
      <w:jc w:val="both"/>
    </w:pPr>
  </w:style>
  <w:style w:type="paragraph" w:customStyle="1" w:styleId="DEParaNotIndented">
    <w:name w:val="DE Para Not Indented"/>
    <w:basedOn w:val="Normal"/>
    <w:rsid w:val="007153D5"/>
    <w:pPr>
      <w:spacing w:after="80"/>
      <w:jc w:val="both"/>
    </w:pPr>
  </w:style>
  <w:style w:type="paragraph" w:customStyle="1" w:styleId="DESubhead-Main">
    <w:name w:val="DE Subhead-Main"/>
    <w:basedOn w:val="Normal"/>
    <w:qFormat/>
    <w:rsid w:val="007153D5"/>
    <w:pPr>
      <w:spacing w:before="40" w:after="40"/>
    </w:pPr>
    <w:rPr>
      <w:b/>
      <w:sz w:val="24"/>
    </w:rPr>
  </w:style>
  <w:style w:type="paragraph" w:customStyle="1" w:styleId="DEAuthorsinstitution">
    <w:name w:val="DE Author's institution"/>
    <w:basedOn w:val="Normal"/>
    <w:qFormat/>
    <w:rsid w:val="007153D5"/>
    <w:pPr>
      <w:jc w:val="right"/>
    </w:pPr>
  </w:style>
  <w:style w:type="paragraph" w:customStyle="1" w:styleId="DETitle">
    <w:name w:val="DE Title"/>
    <w:basedOn w:val="Normal"/>
    <w:rsid w:val="007153D5"/>
    <w:rPr>
      <w:b/>
      <w:sz w:val="32"/>
      <w:szCs w:val="32"/>
    </w:rPr>
  </w:style>
  <w:style w:type="paragraph" w:customStyle="1" w:styleId="DESubhead-Minor">
    <w:name w:val="DE Subhead-Minor"/>
    <w:basedOn w:val="Normal"/>
    <w:qFormat/>
    <w:rsid w:val="007153D5"/>
    <w:pPr>
      <w:spacing w:before="40" w:after="40"/>
    </w:pPr>
    <w:rPr>
      <w:b/>
      <w:i/>
    </w:rPr>
  </w:style>
  <w:style w:type="paragraph" w:customStyle="1" w:styleId="DEKeywords0">
    <w:name w:val="DE Key words"/>
    <w:basedOn w:val="Normal"/>
    <w:qFormat/>
    <w:rsid w:val="007153D5"/>
    <w:pPr>
      <w:spacing w:after="120"/>
    </w:pPr>
    <w:rPr>
      <w:i/>
    </w:rPr>
  </w:style>
  <w:style w:type="paragraph" w:styleId="ListParagraph">
    <w:name w:val="List Paragraph"/>
    <w:basedOn w:val="Normal"/>
    <w:uiPriority w:val="34"/>
    <w:qFormat/>
    <w:rsid w:val="007153D5"/>
    <w:pPr>
      <w:spacing w:after="200"/>
      <w:ind w:left="720"/>
      <w:contextualSpacing/>
    </w:pPr>
    <w:rPr>
      <w:rFonts w:cstheme="minorBidi"/>
      <w:lang w:val="en-NZ"/>
    </w:rPr>
  </w:style>
  <w:style w:type="paragraph" w:customStyle="1" w:styleId="DEAuthor">
    <w:name w:val="DE Author"/>
    <w:basedOn w:val="Normal"/>
    <w:qFormat/>
    <w:rsid w:val="007153D5"/>
    <w:pPr>
      <w:jc w:val="right"/>
    </w:pPr>
    <w:rPr>
      <w:b/>
    </w:rPr>
  </w:style>
  <w:style w:type="paragraph" w:customStyle="1" w:styleId="DEEntryposted">
    <w:name w:val="DE Entry posted"/>
    <w:basedOn w:val="Normal"/>
    <w:qFormat/>
    <w:rsid w:val="007153D5"/>
    <w:pPr>
      <w:spacing w:before="120" w:after="240"/>
      <w:jc w:val="right"/>
    </w:pPr>
    <w:rPr>
      <w:sz w:val="20"/>
      <w:szCs w:val="20"/>
    </w:rPr>
  </w:style>
  <w:style w:type="paragraph" w:customStyle="1" w:styleId="DEListpoints">
    <w:name w:val="DE List points"/>
    <w:basedOn w:val="Normal"/>
    <w:qFormat/>
    <w:rsid w:val="007153D5"/>
    <w:pPr>
      <w:numPr>
        <w:numId w:val="38"/>
      </w:numPr>
      <w:spacing w:after="20"/>
    </w:pPr>
    <w:rPr>
      <w:sz w:val="20"/>
    </w:rPr>
  </w:style>
  <w:style w:type="paragraph" w:customStyle="1" w:styleId="DEPlacePeriod">
    <w:name w:val="DE Place Period"/>
    <w:basedOn w:val="Normal"/>
    <w:qFormat/>
    <w:rsid w:val="007153D5"/>
    <w:rPr>
      <w:sz w:val="24"/>
      <w:szCs w:val="24"/>
    </w:rPr>
  </w:style>
  <w:style w:type="character" w:styleId="FootnoteReference">
    <w:name w:val="footnote reference"/>
    <w:basedOn w:val="DefaultParagraphFont"/>
    <w:rsid w:val="007153D5"/>
    <w:rPr>
      <w:sz w:val="20"/>
      <w:vertAlign w:val="superscript"/>
    </w:rPr>
  </w:style>
  <w:style w:type="paragraph" w:customStyle="1" w:styleId="quote">
    <w:name w:val="quote"/>
    <w:basedOn w:val="Normal"/>
    <w:next w:val="Normal"/>
    <w:rsid w:val="007153D5"/>
    <w:pPr>
      <w:spacing w:before="120" w:after="120"/>
      <w:ind w:left="284"/>
      <w:jc w:val="both"/>
    </w:pPr>
    <w:rPr>
      <w:rFonts w:ascii="Courier New" w:eastAsia="Times New Roman" w:hAnsi="Courier New"/>
      <w:sz w:val="20"/>
      <w:szCs w:val="20"/>
      <w:lang w:val="en-US"/>
    </w:rPr>
  </w:style>
  <w:style w:type="paragraph" w:customStyle="1" w:styleId="DECaption">
    <w:name w:val="DE Caption"/>
    <w:basedOn w:val="Caption"/>
    <w:qFormat/>
    <w:rsid w:val="007153D5"/>
    <w:pPr>
      <w:spacing w:after="120"/>
    </w:pPr>
  </w:style>
  <w:style w:type="paragraph" w:customStyle="1" w:styleId="DECitation">
    <w:name w:val="DE Citation"/>
    <w:basedOn w:val="DEBibliogReference"/>
    <w:qFormat/>
    <w:rsid w:val="007153D5"/>
    <w:pPr>
      <w:ind w:left="624" w:hanging="624"/>
    </w:pPr>
  </w:style>
  <w:style w:type="character" w:styleId="Strong">
    <w:name w:val="Strong"/>
    <w:basedOn w:val="DefaultParagraphFont"/>
    <w:uiPriority w:val="22"/>
    <w:qFormat/>
    <w:rsid w:val="007153D5"/>
    <w:rPr>
      <w:b/>
      <w:bCs/>
    </w:rPr>
  </w:style>
  <w:style w:type="character" w:styleId="FollowedHyperlink">
    <w:name w:val="FollowedHyperlink"/>
    <w:basedOn w:val="DefaultParagraphFont"/>
    <w:rsid w:val="007153D5"/>
    <w:rPr>
      <w:color w:val="800080" w:themeColor="followedHyperlink"/>
      <w:u w:val="single"/>
    </w:rPr>
  </w:style>
  <w:style w:type="paragraph" w:styleId="CommentText">
    <w:name w:val="annotation text"/>
    <w:basedOn w:val="Normal"/>
    <w:link w:val="CommentTextChar"/>
    <w:rsid w:val="007153D5"/>
    <w:rPr>
      <w:sz w:val="20"/>
      <w:szCs w:val="20"/>
    </w:rPr>
  </w:style>
  <w:style w:type="character" w:customStyle="1" w:styleId="CommentTextChar">
    <w:name w:val="Comment Text Char"/>
    <w:basedOn w:val="DefaultParagraphFont"/>
    <w:link w:val="CommentText"/>
    <w:rsid w:val="007153D5"/>
  </w:style>
  <w:style w:type="character" w:styleId="CommentReference">
    <w:name w:val="annotation reference"/>
    <w:rsid w:val="007153D5"/>
    <w:rPr>
      <w:sz w:val="16"/>
      <w:szCs w:val="16"/>
    </w:rPr>
  </w:style>
  <w:style w:type="character" w:customStyle="1" w:styleId="subfielddata1">
    <w:name w:val="subfielddata1"/>
    <w:rsid w:val="007153D5"/>
    <w:rPr>
      <w:sz w:val="24"/>
      <w:szCs w:val="24"/>
    </w:rPr>
  </w:style>
  <w:style w:type="paragraph" w:styleId="FootnoteText">
    <w:name w:val="footnote text"/>
    <w:basedOn w:val="Normal"/>
    <w:link w:val="FootnoteTextChar"/>
    <w:rsid w:val="007153D5"/>
    <w:rPr>
      <w:sz w:val="20"/>
      <w:szCs w:val="20"/>
    </w:rPr>
  </w:style>
  <w:style w:type="character" w:customStyle="1" w:styleId="FootnoteTextChar">
    <w:name w:val="Footnote Text Char"/>
    <w:basedOn w:val="DefaultParagraphFont"/>
    <w:link w:val="FootnoteText"/>
    <w:rsid w:val="007153D5"/>
  </w:style>
  <w:style w:type="table" w:styleId="TableGrid">
    <w:name w:val="Table Grid"/>
    <w:basedOn w:val="TableNormal"/>
    <w:rsid w:val="007153D5"/>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654AD"/>
    <w:rPr>
      <w:rFonts w:ascii="Lato" w:eastAsia="Times New Roman" w:hAnsi="Lato"/>
      <w:b/>
      <w:bCs/>
      <w:color w:val="1F1919"/>
      <w:sz w:val="30"/>
      <w:szCs w:val="30"/>
      <w:lang w:eastAsia="en-AU"/>
    </w:rPr>
  </w:style>
  <w:style w:type="character" w:styleId="Emphasis">
    <w:name w:val="Emphasis"/>
    <w:basedOn w:val="DefaultParagraphFont"/>
    <w:uiPriority w:val="20"/>
    <w:qFormat/>
    <w:rsid w:val="000654AD"/>
    <w:rPr>
      <w:i/>
      <w:iCs/>
    </w:rPr>
  </w:style>
  <w:style w:type="paragraph" w:styleId="NormalWeb">
    <w:name w:val="Normal (Web)"/>
    <w:basedOn w:val="Normal"/>
    <w:uiPriority w:val="99"/>
    <w:unhideWhenUsed/>
    <w:rsid w:val="000654AD"/>
    <w:pPr>
      <w:spacing w:after="369"/>
    </w:pPr>
    <w:rPr>
      <w:rFonts w:ascii="Times New Roman" w:eastAsia="Times New Roman" w:hAnsi="Times New Roman"/>
      <w:sz w:val="24"/>
      <w:szCs w:val="24"/>
      <w:lang w:eastAsia="en-AU"/>
    </w:rPr>
  </w:style>
  <w:style w:type="paragraph" w:customStyle="1" w:styleId="sub-title">
    <w:name w:val="sub-title"/>
    <w:basedOn w:val="Normal"/>
    <w:rsid w:val="000654AD"/>
    <w:pPr>
      <w:spacing w:after="369"/>
    </w:pPr>
    <w:rPr>
      <w:rFonts w:ascii="Lato" w:eastAsia="Times New Roman" w:hAnsi="Lato"/>
      <w:b/>
      <w:bCs/>
      <w:color w:val="1F1919"/>
      <w:sz w:val="35"/>
      <w:szCs w:val="35"/>
      <w:lang w:eastAsia="en-AU"/>
    </w:rPr>
  </w:style>
  <w:style w:type="paragraph" w:customStyle="1" w:styleId="entry-details">
    <w:name w:val="entry-details"/>
    <w:basedOn w:val="Normal"/>
    <w:rsid w:val="000654AD"/>
    <w:pPr>
      <w:spacing w:after="369"/>
    </w:pPr>
    <w:rPr>
      <w:rFonts w:ascii="Times New Roman" w:eastAsia="Times New Roman" w:hAnsi="Times New Roman"/>
      <w:sz w:val="24"/>
      <w:szCs w:val="24"/>
      <w:lang w:eastAsia="en-AU"/>
    </w:rPr>
  </w:style>
  <w:style w:type="character" w:customStyle="1" w:styleId="entry-author5">
    <w:name w:val="entry-author5"/>
    <w:basedOn w:val="DefaultParagraphFont"/>
    <w:rsid w:val="000654AD"/>
  </w:style>
  <w:style w:type="character" w:customStyle="1" w:styleId="entry-author-university5">
    <w:name w:val="entry-author-university5"/>
    <w:basedOn w:val="DefaultParagraphFont"/>
    <w:rsid w:val="000654AD"/>
  </w:style>
  <w:style w:type="character" w:customStyle="1" w:styleId="entry-date5">
    <w:name w:val="entry-date5"/>
    <w:basedOn w:val="DefaultParagraphFont"/>
    <w:rsid w:val="000654AD"/>
  </w:style>
</w:styles>
</file>

<file path=word/webSettings.xml><?xml version="1.0" encoding="utf-8"?>
<w:webSettings xmlns:r="http://schemas.openxmlformats.org/officeDocument/2006/relationships" xmlns:w="http://schemas.openxmlformats.org/wordprocessingml/2006/main">
  <w:divs>
    <w:div w:id="1362710442">
      <w:bodyDiv w:val="1"/>
      <w:marLeft w:val="0"/>
      <w:marRight w:val="0"/>
      <w:marTop w:val="0"/>
      <w:marBottom w:val="0"/>
      <w:divBdr>
        <w:top w:val="none" w:sz="0" w:space="0" w:color="auto"/>
        <w:left w:val="none" w:sz="0" w:space="0" w:color="auto"/>
        <w:bottom w:val="none" w:sz="0" w:space="0" w:color="auto"/>
        <w:right w:val="none" w:sz="0" w:space="0" w:color="auto"/>
      </w:divBdr>
      <w:divsChild>
        <w:div w:id="139078915">
          <w:marLeft w:val="0"/>
          <w:marRight w:val="0"/>
          <w:marTop w:val="0"/>
          <w:marBottom w:val="0"/>
          <w:divBdr>
            <w:top w:val="none" w:sz="0" w:space="0" w:color="auto"/>
            <w:left w:val="none" w:sz="0" w:space="0" w:color="auto"/>
            <w:bottom w:val="none" w:sz="0" w:space="0" w:color="auto"/>
            <w:right w:val="none" w:sz="0" w:space="0" w:color="auto"/>
          </w:divBdr>
          <w:divsChild>
            <w:div w:id="1638992560">
              <w:marLeft w:val="0"/>
              <w:marRight w:val="0"/>
              <w:marTop w:val="0"/>
              <w:marBottom w:val="0"/>
              <w:divBdr>
                <w:top w:val="none" w:sz="0" w:space="0" w:color="auto"/>
                <w:left w:val="none" w:sz="0" w:space="0" w:color="auto"/>
                <w:bottom w:val="none" w:sz="0" w:space="0" w:color="auto"/>
                <w:right w:val="none" w:sz="0" w:space="0" w:color="auto"/>
              </w:divBdr>
              <w:divsChild>
                <w:div w:id="532379028">
                  <w:marLeft w:val="0"/>
                  <w:marRight w:val="0"/>
                  <w:marTop w:val="0"/>
                  <w:marBottom w:val="0"/>
                  <w:divBdr>
                    <w:top w:val="none" w:sz="0" w:space="0" w:color="auto"/>
                    <w:left w:val="none" w:sz="0" w:space="0" w:color="auto"/>
                    <w:bottom w:val="none" w:sz="0" w:space="0" w:color="auto"/>
                    <w:right w:val="none" w:sz="0" w:space="0" w:color="auto"/>
                  </w:divBdr>
                  <w:divsChild>
                    <w:div w:id="1621916014">
                      <w:marLeft w:val="-492"/>
                      <w:marRight w:val="0"/>
                      <w:marTop w:val="0"/>
                      <w:marBottom w:val="0"/>
                      <w:divBdr>
                        <w:top w:val="none" w:sz="0" w:space="0" w:color="auto"/>
                        <w:left w:val="none" w:sz="0" w:space="0" w:color="auto"/>
                        <w:bottom w:val="none" w:sz="0" w:space="0" w:color="auto"/>
                        <w:right w:val="none" w:sz="0" w:space="0" w:color="auto"/>
                      </w:divBdr>
                      <w:divsChild>
                        <w:div w:id="563487916">
                          <w:marLeft w:val="0"/>
                          <w:marRight w:val="0"/>
                          <w:marTop w:val="0"/>
                          <w:marBottom w:val="0"/>
                          <w:divBdr>
                            <w:top w:val="none" w:sz="0" w:space="0" w:color="auto"/>
                            <w:left w:val="none" w:sz="0" w:space="0" w:color="auto"/>
                            <w:bottom w:val="none" w:sz="0" w:space="0" w:color="auto"/>
                            <w:right w:val="none" w:sz="0" w:space="0" w:color="auto"/>
                          </w:divBdr>
                          <w:divsChild>
                            <w:div w:id="998995386">
                              <w:marLeft w:val="0"/>
                              <w:marRight w:val="0"/>
                              <w:marTop w:val="0"/>
                              <w:marBottom w:val="369"/>
                              <w:divBdr>
                                <w:top w:val="none" w:sz="0" w:space="0" w:color="auto"/>
                                <w:left w:val="none" w:sz="0" w:space="0" w:color="auto"/>
                                <w:bottom w:val="none" w:sz="0" w:space="0" w:color="auto"/>
                                <w:right w:val="none" w:sz="0" w:space="0" w:color="auto"/>
                              </w:divBdr>
                              <w:divsChild>
                                <w:div w:id="623924979">
                                  <w:marLeft w:val="0"/>
                                  <w:marRight w:val="0"/>
                                  <w:marTop w:val="0"/>
                                  <w:marBottom w:val="0"/>
                                  <w:divBdr>
                                    <w:top w:val="none" w:sz="0" w:space="0" w:color="auto"/>
                                    <w:left w:val="none" w:sz="0" w:space="0" w:color="auto"/>
                                    <w:bottom w:val="none" w:sz="0" w:space="0" w:color="auto"/>
                                    <w:right w:val="none" w:sz="0" w:space="0" w:color="auto"/>
                                  </w:divBdr>
                                </w:div>
                                <w:div w:id="1455714280">
                                  <w:marLeft w:val="0"/>
                                  <w:marRight w:val="0"/>
                                  <w:marTop w:val="0"/>
                                  <w:marBottom w:val="0"/>
                                  <w:divBdr>
                                    <w:top w:val="none" w:sz="0" w:space="0" w:color="auto"/>
                                    <w:left w:val="none" w:sz="0" w:space="0" w:color="auto"/>
                                    <w:bottom w:val="none" w:sz="0" w:space="0" w:color="auto"/>
                                    <w:right w:val="none" w:sz="0" w:space="0" w:color="auto"/>
                                  </w:divBdr>
                                </w:div>
                                <w:div w:id="800194602">
                                  <w:marLeft w:val="0"/>
                                  <w:marRight w:val="0"/>
                                  <w:marTop w:val="0"/>
                                  <w:marBottom w:val="0"/>
                                  <w:divBdr>
                                    <w:top w:val="none" w:sz="0" w:space="0" w:color="auto"/>
                                    <w:left w:val="none" w:sz="0" w:space="0" w:color="auto"/>
                                    <w:bottom w:val="none" w:sz="0" w:space="0" w:color="auto"/>
                                    <w:right w:val="none" w:sz="0" w:space="0" w:color="auto"/>
                                  </w:divBdr>
                                </w:div>
                                <w:div w:id="1137529532">
                                  <w:marLeft w:val="0"/>
                                  <w:marRight w:val="0"/>
                                  <w:marTop w:val="0"/>
                                  <w:marBottom w:val="0"/>
                                  <w:divBdr>
                                    <w:top w:val="none" w:sz="0" w:space="0" w:color="auto"/>
                                    <w:left w:val="none" w:sz="0" w:space="0" w:color="auto"/>
                                    <w:bottom w:val="none" w:sz="0" w:space="0" w:color="auto"/>
                                    <w:right w:val="none" w:sz="0" w:space="0" w:color="auto"/>
                                  </w:divBdr>
                                </w:div>
                                <w:div w:id="208298743">
                                  <w:marLeft w:val="0"/>
                                  <w:marRight w:val="0"/>
                                  <w:marTop w:val="0"/>
                                  <w:marBottom w:val="0"/>
                                  <w:divBdr>
                                    <w:top w:val="none" w:sz="0" w:space="0" w:color="auto"/>
                                    <w:left w:val="none" w:sz="0" w:space="0" w:color="auto"/>
                                    <w:bottom w:val="none" w:sz="0" w:space="0" w:color="auto"/>
                                    <w:right w:val="none" w:sz="0" w:space="0" w:color="auto"/>
                                  </w:divBdr>
                                </w:div>
                                <w:div w:id="1272278541">
                                  <w:marLeft w:val="0"/>
                                  <w:marRight w:val="0"/>
                                  <w:marTop w:val="0"/>
                                  <w:marBottom w:val="0"/>
                                  <w:divBdr>
                                    <w:top w:val="none" w:sz="0" w:space="0" w:color="auto"/>
                                    <w:left w:val="none" w:sz="0" w:space="0" w:color="auto"/>
                                    <w:bottom w:val="none" w:sz="0" w:space="0" w:color="auto"/>
                                    <w:right w:val="none" w:sz="0" w:space="0" w:color="auto"/>
                                  </w:divBdr>
                                </w:div>
                                <w:div w:id="212010097">
                                  <w:marLeft w:val="0"/>
                                  <w:marRight w:val="0"/>
                                  <w:marTop w:val="0"/>
                                  <w:marBottom w:val="0"/>
                                  <w:divBdr>
                                    <w:top w:val="none" w:sz="0" w:space="0" w:color="auto"/>
                                    <w:left w:val="none" w:sz="0" w:space="0" w:color="auto"/>
                                    <w:bottom w:val="none" w:sz="0" w:space="0" w:color="auto"/>
                                    <w:right w:val="none" w:sz="0" w:space="0" w:color="auto"/>
                                  </w:divBdr>
                                </w:div>
                                <w:div w:id="1959137713">
                                  <w:marLeft w:val="0"/>
                                  <w:marRight w:val="0"/>
                                  <w:marTop w:val="0"/>
                                  <w:marBottom w:val="0"/>
                                  <w:divBdr>
                                    <w:top w:val="none" w:sz="0" w:space="0" w:color="auto"/>
                                    <w:left w:val="none" w:sz="0" w:space="0" w:color="auto"/>
                                    <w:bottom w:val="none" w:sz="0" w:space="0" w:color="auto"/>
                                    <w:right w:val="none" w:sz="0" w:space="0" w:color="auto"/>
                                  </w:divBdr>
                                </w:div>
                                <w:div w:id="782311086">
                                  <w:marLeft w:val="0"/>
                                  <w:marRight w:val="0"/>
                                  <w:marTop w:val="0"/>
                                  <w:marBottom w:val="0"/>
                                  <w:divBdr>
                                    <w:top w:val="none" w:sz="0" w:space="0" w:color="auto"/>
                                    <w:left w:val="none" w:sz="0" w:space="0" w:color="auto"/>
                                    <w:bottom w:val="none" w:sz="0" w:space="0" w:color="auto"/>
                                    <w:right w:val="none" w:sz="0" w:space="0" w:color="auto"/>
                                  </w:divBdr>
                                </w:div>
                                <w:div w:id="108206155">
                                  <w:marLeft w:val="0"/>
                                  <w:marRight w:val="0"/>
                                  <w:marTop w:val="0"/>
                                  <w:marBottom w:val="0"/>
                                  <w:divBdr>
                                    <w:top w:val="none" w:sz="0" w:space="0" w:color="auto"/>
                                    <w:left w:val="none" w:sz="0" w:space="0" w:color="auto"/>
                                    <w:bottom w:val="none" w:sz="0" w:space="0" w:color="auto"/>
                                    <w:right w:val="none" w:sz="0" w:space="0" w:color="auto"/>
                                  </w:divBdr>
                                </w:div>
                                <w:div w:id="181094767">
                                  <w:marLeft w:val="0"/>
                                  <w:marRight w:val="0"/>
                                  <w:marTop w:val="0"/>
                                  <w:marBottom w:val="0"/>
                                  <w:divBdr>
                                    <w:top w:val="none" w:sz="0" w:space="0" w:color="auto"/>
                                    <w:left w:val="none" w:sz="0" w:space="0" w:color="auto"/>
                                    <w:bottom w:val="none" w:sz="0" w:space="0" w:color="auto"/>
                                    <w:right w:val="none" w:sz="0" w:space="0" w:color="auto"/>
                                  </w:divBdr>
                                </w:div>
                              </w:divsChild>
                            </w:div>
                            <w:div w:id="1074160748">
                              <w:marLeft w:val="0"/>
                              <w:marRight w:val="0"/>
                              <w:marTop w:val="0"/>
                              <w:marBottom w:val="369"/>
                              <w:divBdr>
                                <w:top w:val="none" w:sz="0" w:space="0" w:color="auto"/>
                                <w:left w:val="none" w:sz="0" w:space="0" w:color="auto"/>
                                <w:bottom w:val="none" w:sz="0" w:space="0" w:color="auto"/>
                                <w:right w:val="none" w:sz="0" w:space="0" w:color="auto"/>
                              </w:divBdr>
                              <w:divsChild>
                                <w:div w:id="4643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ac.uk/makinghistory/themes/quantitative_history.html" TargetMode="External"/><Relationship Id="rId13" Type="http://schemas.openxmlformats.org/officeDocument/2006/relationships/hyperlink" Target="http://dehanz.net.au" TargetMode="External"/><Relationship Id="rId3" Type="http://schemas.openxmlformats.org/officeDocument/2006/relationships/settings" Target="settings.xml"/><Relationship Id="rId7" Type="http://schemas.openxmlformats.org/officeDocument/2006/relationships/hyperlink" Target="http://dehanz.net.au/entries/adelaide-school-social-history-childhood-family-education/" TargetMode="External"/><Relationship Id="rId12" Type="http://schemas.openxmlformats.org/officeDocument/2006/relationships/hyperlink" Target="http://dehanz.net.au/entries/free-compulsory-secular-education-a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hanz.net.au/entries/films-students-teachers-schoo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lato.stanford.edu/entries/foucault/" TargetMode="External"/><Relationship Id="rId4" Type="http://schemas.openxmlformats.org/officeDocument/2006/relationships/webSettings" Target="webSettings.xml"/><Relationship Id="rId9" Type="http://schemas.openxmlformats.org/officeDocument/2006/relationships/hyperlink" Target="http://www.history.ac.uk/makinghistory/resources/articles/oral_histor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4478</Words>
  <Characters>25526</Characters>
  <Application>Microsoft Office Word</Application>
  <DocSecurity>0</DocSecurity>
  <Lines>212</Lines>
  <Paragraphs>59</Paragraphs>
  <ScaleCrop>false</ScaleCrop>
  <Company>Hewlett-Packard Company</Company>
  <LinksUpToDate>false</LinksUpToDate>
  <CharactersWithSpaces>29945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cp:revision>
  <dcterms:created xsi:type="dcterms:W3CDTF">2014-09-15T04:45:00Z</dcterms:created>
  <dcterms:modified xsi:type="dcterms:W3CDTF">2014-09-15T04:55:00Z</dcterms:modified>
</cp:coreProperties>
</file>